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3B5993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</w:p>
    <w:p w:rsidR="001F1F19" w:rsidRPr="003B5993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</w:p>
    <w:p w:rsidR="00F3123D" w:rsidRPr="003B5993" w:rsidRDefault="00F3123D" w:rsidP="00F3123D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1F1F19" w:rsidRPr="003B5993" w:rsidRDefault="001F1F19" w:rsidP="001F1F19">
      <w:pPr>
        <w:pBdr>
          <w:bottom w:val="thinThickSmallGap" w:sz="24" w:space="0" w:color="auto"/>
        </w:pBdr>
        <w:rPr>
          <w:rFonts w:ascii="Times New Roman" w:hAnsi="Times New Roman"/>
          <w:color w:val="000000" w:themeColor="text1"/>
        </w:rPr>
      </w:pPr>
    </w:p>
    <w:p w:rsidR="001F1F19" w:rsidRPr="003B5993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3B5993" w:rsidRDefault="001F1F19" w:rsidP="001F1F19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3B5993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3B5993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6D58" w:rsidRPr="003B5993" w:rsidRDefault="00DE6D58" w:rsidP="00DE6D58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АННОТАЦИИ РАБОЧИХ ПРОГРАММ ДИСЦИПЛИН, ПРАКТИК</w:t>
      </w:r>
    </w:p>
    <w:p w:rsidR="00A30366" w:rsidRPr="003B5993" w:rsidRDefault="00A30366" w:rsidP="001F1F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3B5993" w:rsidRPr="003B599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DE6D58" w:rsidRPr="003B5993" w:rsidRDefault="00DE6D58" w:rsidP="00DE6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</w:rPr>
              <w:t>ОБРАЗОВАТЕЛЬНОЙ ПРОГРАММЫ ВЫСШЕГО ОБРАЗОВАНИЯ –</w:t>
            </w:r>
            <w:r w:rsidRPr="003B5993">
              <w:rPr>
                <w:rFonts w:ascii="Times New Roman" w:hAnsi="Times New Roman"/>
                <w:b/>
                <w:color w:val="000000" w:themeColor="text1"/>
              </w:rPr>
              <w:cr/>
            </w:r>
          </w:p>
          <w:p w:rsidR="00DE6D58" w:rsidRPr="003B5993" w:rsidRDefault="00DE6D58" w:rsidP="00DE6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b/>
                <w:color w:val="000000" w:themeColor="text1"/>
              </w:rPr>
              <w:t>программы</w:t>
            </w:r>
            <w:proofErr w:type="gramEnd"/>
            <w:r w:rsidRPr="003B5993">
              <w:rPr>
                <w:rFonts w:ascii="Times New Roman" w:hAnsi="Times New Roman"/>
                <w:b/>
                <w:color w:val="000000" w:themeColor="text1"/>
              </w:rPr>
              <w:t xml:space="preserve"> подготовки кадров высшей квалификации</w:t>
            </w:r>
          </w:p>
          <w:p w:rsidR="001F1F19" w:rsidRPr="003B5993" w:rsidRDefault="00DE6D58" w:rsidP="00DE6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B5993">
              <w:rPr>
                <w:rFonts w:ascii="Times New Roman" w:hAnsi="Times New Roman"/>
                <w:b/>
                <w:color w:val="000000" w:themeColor="text1"/>
              </w:rPr>
              <w:t>в</w:t>
            </w:r>
            <w:proofErr w:type="gramEnd"/>
            <w:r w:rsidRPr="003B5993">
              <w:rPr>
                <w:rFonts w:ascii="Times New Roman" w:hAnsi="Times New Roman"/>
                <w:b/>
                <w:color w:val="000000" w:themeColor="text1"/>
              </w:rPr>
              <w:t xml:space="preserve"> ординатуре</w:t>
            </w:r>
          </w:p>
        </w:tc>
      </w:tr>
      <w:tr w:rsidR="003B5993" w:rsidRPr="003B5993" w:rsidTr="00A30366">
        <w:trPr>
          <w:trHeight w:val="122"/>
          <w:jc w:val="center"/>
        </w:trPr>
        <w:tc>
          <w:tcPr>
            <w:tcW w:w="5000" w:type="pct"/>
          </w:tcPr>
          <w:p w:rsidR="001F1F19" w:rsidRPr="003B5993" w:rsidRDefault="001F1F19" w:rsidP="005A0E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5993" w:rsidRPr="003B5993" w:rsidTr="005A0E56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3B5993" w:rsidRDefault="001F1F19" w:rsidP="00B21E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59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31.08.5</w:t>
            </w:r>
            <w:r w:rsidR="00B21E33" w:rsidRPr="003B59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  <w:r w:rsidR="005A0E56" w:rsidRPr="003B59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ОНКОЛОГИЯ</w:t>
            </w:r>
          </w:p>
        </w:tc>
      </w:tr>
      <w:tr w:rsidR="003B5993" w:rsidRPr="003B5993" w:rsidTr="005A0E56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3B5993" w:rsidRDefault="001F1F19" w:rsidP="005A0E5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3B5993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3B5993" w:rsidRDefault="001F1F19" w:rsidP="001F1F19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3B5993">
        <w:rPr>
          <w:rFonts w:ascii="Times New Roman" w:hAnsi="Times New Roman"/>
          <w:color w:val="000000" w:themeColor="text1"/>
        </w:rPr>
        <w:br w:type="page"/>
      </w:r>
    </w:p>
    <w:p w:rsidR="005A0E56" w:rsidRPr="003B5993" w:rsidRDefault="00A30366" w:rsidP="00A303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lastRenderedPageBreak/>
        <w:t>АННОТАЦИЯ К ПРОГРАММЕ ПО ДИСЦИПЛИНЕ</w:t>
      </w:r>
    </w:p>
    <w:p w:rsidR="003871E2" w:rsidRPr="003B5993" w:rsidRDefault="00B21E33" w:rsidP="005A0E56">
      <w:pPr>
        <w:pStyle w:val="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 w:val="22"/>
          <w:szCs w:val="22"/>
        </w:rPr>
        <w:t>Онкология</w:t>
      </w:r>
    </w:p>
    <w:p w:rsidR="003871E2" w:rsidRPr="003B5993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8E1B0A" w:rsidRPr="003B5993" w:rsidRDefault="005A0E56" w:rsidP="008E1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П</w:t>
      </w:r>
      <w:r w:rsidR="008E1B0A" w:rsidRPr="003B5993">
        <w:rPr>
          <w:rFonts w:ascii="Times New Roman" w:eastAsia="Times New Roman" w:hAnsi="Times New Roman"/>
          <w:color w:val="000000" w:themeColor="text1"/>
          <w:lang w:eastAsia="ru-RU"/>
        </w:rPr>
        <w:t>одготовка квалифицированного врача-специалиста онколога, обладающего системой общекультурных и профессиональных компетенций, способного и готового для самостоятельной профессиональной деятельности в специализированной области лечебного дела – онкологии и занимать должности медицинских работников по данной специальности в лечебных учреждениях всех систем здравоохранения и условий оказания медицинской помощи.</w:t>
      </w:r>
    </w:p>
    <w:p w:rsidR="003871E2" w:rsidRPr="003B5993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871E2" w:rsidRPr="003B5993" w:rsidRDefault="001204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871E2" w:rsidRPr="003B5993" w:rsidRDefault="003871E2" w:rsidP="003871E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 w:rsidR="00120456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,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120456" w:rsidRPr="003B5993" w:rsidRDefault="00493C1A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>к абстрактному мышлению, анализу, синтезу (УК-1);</w:t>
      </w:r>
    </w:p>
    <w:p w:rsidR="00AF41E7" w:rsidRPr="003B5993" w:rsidRDefault="00493C1A" w:rsidP="00BC0F09">
      <w:pPr>
        <w:pStyle w:val="ae"/>
        <w:rPr>
          <w:color w:val="000000" w:themeColor="text1"/>
        </w:rPr>
      </w:pPr>
      <w:r w:rsidRPr="003B5993">
        <w:rPr>
          <w:color w:val="000000" w:themeColor="text1"/>
        </w:rPr>
        <w:t>Готовность</w:t>
      </w:r>
      <w:r w:rsidR="00AF41E7" w:rsidRPr="003B5993">
        <w:rPr>
          <w:color w:val="000000" w:themeColor="text1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Профилактическая </w:t>
      </w:r>
      <w:r w:rsidR="00120456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деятельность: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>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F41E7" w:rsidRPr="003B5993" w:rsidRDefault="00AF41E7" w:rsidP="00AF41E7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Диагностическая </w:t>
      </w:r>
      <w:r w:rsidR="00120456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деятельность: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Лечебная </w:t>
      </w:r>
      <w:r w:rsidR="00120456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деятельность: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к ведению и лечению пациентов, нуждающихся в оказании </w:t>
      </w:r>
      <w:r w:rsidR="00AC3AF8" w:rsidRPr="003B5993">
        <w:rPr>
          <w:rFonts w:ascii="Times New Roman" w:eastAsia="Times New Roman" w:hAnsi="Times New Roman"/>
          <w:color w:val="000000" w:themeColor="text1"/>
          <w:lang w:eastAsia="ru-RU"/>
        </w:rPr>
        <w:t>онкологической медицинской помощи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(ПК-6);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Реабилитационная </w:t>
      </w:r>
      <w:r w:rsidR="00120456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деятельность:</w:t>
      </w:r>
    </w:p>
    <w:p w:rsidR="00120456" w:rsidRPr="003B5993" w:rsidRDefault="005A0E56" w:rsidP="00120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</w:t>
      </w:r>
      <w:r w:rsidR="00120456" w:rsidRPr="003B5993">
        <w:rPr>
          <w:rFonts w:ascii="Times New Roman" w:eastAsia="Times New Roman" w:hAnsi="Times New Roman"/>
          <w:color w:val="000000" w:themeColor="text1"/>
          <w:lang w:eastAsia="ru-RU"/>
        </w:rPr>
        <w:t>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3871E2" w:rsidRPr="003B5993" w:rsidRDefault="003871E2" w:rsidP="003871E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995112" w:rsidRPr="003B5993" w:rsidRDefault="00995112" w:rsidP="005A0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Основы организации онкологической помощи населению. Основные положения Приказа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Минздравсоцразвития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России об организации онкологической помощи населению.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Вопросы профилактики онкологических заболеваний.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Вопросы организации онкологической помощи в России.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Вопросы медицинской психологии, этики и деонтологии в онкологии.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Вопросы экспериментальной онкологии.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Основы канцерогенеза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Апоптоз</w:t>
      </w:r>
      <w:proofErr w:type="spellEnd"/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Методы исследования в экспериментальной онкологии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Моделирование в экспериментальной онкологии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Морфология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Общая морфология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(их виды) и опухолеподобные процессы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Основы теоретической онкологии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Этиология опухолей. Биология опухолевой клетки. Основы генетики, цитогенетики и иммунологии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Методы диагностики в клинической онкологии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Принципы диагностики злокачественных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Субъективное и объективное исследование пациента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Лабораторные методы исследования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Ренттено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-диагностические исследования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Радиоизотопные исследования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Ультразвуковая диагностика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Эндоскопические исследования.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Общие принципы лечения злокачественных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Современные принципы лечения злокачественных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Общие принципы хирургического лечения злокачественных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Общие принципы лучевой терапии злокачественных опухолей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Общие принципы лекарственной терапии злокачественных опухолей и паллиативной помощи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головы и шеи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Хирургическая анатомия и оперативная хирургия лицевого отдела головы и шеи. Злокачественные опухоли губы, языка и слизистой оболочки щеки, дна полости рта, твердого и мягкого неба, опухоли слюнных желез Злокачественные опухоли нижней челюсти Злокачественные опухоли полости носа, придаточных пазух и носоглотки Опухоли гортани Злокачественные опухоли щитовидной железы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Внеорганные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шеи Опухоли ротоглотки и гортаноглотки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органов грудной клетки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 и оперативная хирургия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средостения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пищевода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легкого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плевры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органов брюшной полости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 и оперативная хирургия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желудка</w:t>
      </w:r>
      <w:r w:rsidR="00576AD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поджелудочной железы. Рак внепеченочных желчных протоков. Рак желчного пузыря. Первичный и метастатический рак печен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и.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тонкой кишки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ободочной и прямой кишок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Забрюшинные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внеорганные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и органные опухоли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 и оперативная хирургия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Забрюшинные доброкачественные и злокачественные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внеорганные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опухоли. Забрюшинные доброкачественные и злокачественные органные опухоли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женских половых органов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 и оперативная хирургия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шейки матки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тела матки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Саркома матки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трофобласта</w:t>
      </w:r>
      <w:proofErr w:type="spellEnd"/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придатков матки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влагалища и вульвы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молочной железы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анатомия, эмбриология и гистология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Предопухолевые заболевания и доброкачественные опухоли молочных желез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молочной железы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кожи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Рак кожи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Неэпитальные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кожи и меланома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опорно-двигательного аппарата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 конечностей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костей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мягких тканей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кроветворной и лимфатической ткани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Множественная миелома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Лейкозы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Болезнь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Ходжкина</w:t>
      </w:r>
      <w:proofErr w:type="spellEnd"/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Неходжкинские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лимфомы</w:t>
      </w:r>
      <w:proofErr w:type="spellEnd"/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5A0E56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Опухоли органов мочевыделительной системы и мужских половых органов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Топографическая анатомия и оперативная хирургия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почек и мочеточников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мочевого пузыря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Рак предстательной железы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яичка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 полового члена</w:t>
      </w:r>
      <w:r w:rsidR="00436C33"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F70D31" w:rsidRPr="003B5993" w:rsidRDefault="00F70D31" w:rsidP="005A0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70D31" w:rsidRPr="003B5993" w:rsidRDefault="00F70D31" w:rsidP="00F70D3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Организационно-управленческая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B5993" w:rsidRPr="003B5993" w:rsidTr="00F70D31">
        <w:trPr>
          <w:trHeight w:val="20"/>
        </w:trPr>
        <w:tc>
          <w:tcPr>
            <w:tcW w:w="1114" w:type="pct"/>
            <w:hideMark/>
          </w:tcPr>
          <w:p w:rsidR="00F70D31" w:rsidRPr="003B5993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B5993" w:rsidRPr="003B5993" w:rsidTr="00F70D31">
        <w:trPr>
          <w:trHeight w:val="20"/>
        </w:trPr>
        <w:tc>
          <w:tcPr>
            <w:tcW w:w="1114" w:type="pct"/>
            <w:hideMark/>
          </w:tcPr>
          <w:p w:rsidR="00F70D31" w:rsidRPr="003B5993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E97F7D" w:rsidRDefault="00E97F7D" w:rsidP="00E97F7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70D31" w:rsidRPr="003B5993" w:rsidRDefault="00F70D31" w:rsidP="00F70D31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3B5993" w:rsidRPr="003B5993" w:rsidTr="00F70D31">
        <w:trPr>
          <w:trHeight w:val="20"/>
        </w:trPr>
        <w:tc>
          <w:tcPr>
            <w:tcW w:w="1016" w:type="pct"/>
          </w:tcPr>
          <w:p w:rsidR="00F70D31" w:rsidRPr="003B5993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3B5993" w:rsidRPr="003B5993" w:rsidTr="00F70D31">
        <w:trPr>
          <w:trHeight w:val="20"/>
        </w:trPr>
        <w:tc>
          <w:tcPr>
            <w:tcW w:w="1016" w:type="pct"/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3B5993" w:rsidRPr="003B5993" w:rsidTr="00F70D31">
        <w:trPr>
          <w:trHeight w:val="20"/>
        </w:trPr>
        <w:tc>
          <w:tcPr>
            <w:tcW w:w="1016" w:type="pct"/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3B5993" w:rsidRPr="003B5993" w:rsidTr="00F70D31">
        <w:trPr>
          <w:trHeight w:val="20"/>
        </w:trPr>
        <w:tc>
          <w:tcPr>
            <w:tcW w:w="1016" w:type="pct"/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F70D31" w:rsidRPr="003B5993" w:rsidRDefault="00F70D31" w:rsidP="005A0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70D31" w:rsidRPr="003B5993" w:rsidRDefault="00F70D31" w:rsidP="00F70D3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Медицина чрезвычайных ситуаций</w:t>
      </w:r>
    </w:p>
    <w:p w:rsidR="00F70D31" w:rsidRPr="003B5993" w:rsidRDefault="00F70D31" w:rsidP="00F70D31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70D31" w:rsidRPr="003B5993" w:rsidRDefault="00F70D31" w:rsidP="00F70D31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lastRenderedPageBreak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3B5993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3B5993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B5993" w:rsidRPr="003B5993" w:rsidTr="00F70D31">
        <w:tc>
          <w:tcPr>
            <w:tcW w:w="5000" w:type="pct"/>
          </w:tcPr>
          <w:p w:rsidR="00F70D31" w:rsidRPr="003B5993" w:rsidRDefault="00F70D31" w:rsidP="00F70D3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3B5993" w:rsidRPr="003B5993" w:rsidTr="00F70D31">
        <w:tc>
          <w:tcPr>
            <w:tcW w:w="5000" w:type="pct"/>
          </w:tcPr>
          <w:p w:rsidR="00F70D31" w:rsidRPr="003B5993" w:rsidRDefault="00F70D31" w:rsidP="00F70D3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3B5993" w:rsidRPr="003B5993" w:rsidTr="00F70D31">
        <w:tc>
          <w:tcPr>
            <w:tcW w:w="5000" w:type="pct"/>
          </w:tcPr>
          <w:p w:rsidR="00F70D31" w:rsidRPr="003B5993" w:rsidRDefault="00F70D31" w:rsidP="00F70D3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3B5993" w:rsidRPr="003B5993" w:rsidTr="00F70D31">
        <w:tc>
          <w:tcPr>
            <w:tcW w:w="5000" w:type="pct"/>
          </w:tcPr>
          <w:p w:rsidR="00F70D31" w:rsidRPr="003B5993" w:rsidRDefault="00F70D31" w:rsidP="00F70D31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F70D31" w:rsidRPr="003B5993" w:rsidRDefault="00F70D31" w:rsidP="00F70D3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70D31" w:rsidRPr="003B5993" w:rsidRDefault="00F70D31" w:rsidP="00F70D31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B5993" w:rsidRPr="003B5993" w:rsidTr="00F70D3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70D31" w:rsidRPr="003B5993" w:rsidRDefault="00F70D31" w:rsidP="00F70D31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B5993" w:rsidRPr="003B5993" w:rsidTr="00F70D3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70D31" w:rsidRPr="003B5993" w:rsidRDefault="00F70D31" w:rsidP="00F70D31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3B5993" w:rsidRPr="003B5993" w:rsidTr="00F70D3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70D31" w:rsidRPr="003B5993" w:rsidRDefault="00F70D31" w:rsidP="00F70D3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3B5993" w:rsidRPr="003B5993" w:rsidTr="00F70D31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F70D31" w:rsidRPr="003B5993" w:rsidRDefault="00F70D31" w:rsidP="00F70D3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F70D31" w:rsidRPr="003B5993" w:rsidRDefault="00F70D31" w:rsidP="00F70D3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Патология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3B5993" w:rsidRPr="003B5993" w:rsidTr="00F70D31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F70D31" w:rsidRPr="003B5993" w:rsidRDefault="00F70D31" w:rsidP="00F70D3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3B5993" w:rsidRPr="003B5993" w:rsidTr="00F70D31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F70D31" w:rsidRPr="003B5993" w:rsidRDefault="00F70D31" w:rsidP="00F70D3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F70D31" w:rsidRPr="003B5993" w:rsidRDefault="00F70D31" w:rsidP="00F70D3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F70D31" w:rsidRPr="003B5993" w:rsidRDefault="00F70D31" w:rsidP="00F70D3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F70D31" w:rsidRPr="003B5993" w:rsidRDefault="00F70D31" w:rsidP="00F70D3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у </w:t>
      </w:r>
      <w:proofErr w:type="gramStart"/>
      <w:r w:rsidRPr="003B5993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70D31" w:rsidRPr="003B5993" w:rsidRDefault="00F70D31" w:rsidP="00F70D3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70D31" w:rsidRPr="003B5993" w:rsidRDefault="00F70D31" w:rsidP="00F70D3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3B5993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3B5993">
        <w:rPr>
          <w:rFonts w:ascii="Times New Roman" w:hAnsi="Times New Roman"/>
          <w:color w:val="000000" w:themeColor="text1"/>
        </w:rPr>
        <w:t>ПК-4)</w:t>
      </w:r>
    </w:p>
    <w:p w:rsidR="00F70D31" w:rsidRPr="003B5993" w:rsidRDefault="00F70D31" w:rsidP="00F70D3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</w:tblGrid>
      <w:tr w:rsidR="003B5993" w:rsidRPr="003B5993" w:rsidTr="00F70D31">
        <w:trPr>
          <w:trHeight w:val="20"/>
        </w:trPr>
        <w:tc>
          <w:tcPr>
            <w:tcW w:w="1449" w:type="pct"/>
          </w:tcPr>
          <w:p w:rsidR="00F70D31" w:rsidRPr="003B5993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3B5993" w:rsidRPr="003B5993" w:rsidTr="00F70D31">
        <w:trPr>
          <w:trHeight w:val="20"/>
        </w:trPr>
        <w:tc>
          <w:tcPr>
            <w:tcW w:w="1449" w:type="pct"/>
          </w:tcPr>
          <w:p w:rsidR="00F70D31" w:rsidRPr="003B5993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70D31" w:rsidRPr="003B5993" w:rsidRDefault="00F70D31" w:rsidP="005A0E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70D31" w:rsidRPr="003B5993" w:rsidRDefault="00F70D31" w:rsidP="00F70D31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 w:rsidRPr="003B5993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3B5993">
        <w:rPr>
          <w:rFonts w:ascii="Times New Roman" w:hAnsi="Times New Roman"/>
          <w:color w:val="000000" w:themeColor="text1"/>
        </w:rPr>
        <w:t xml:space="preserve"> специалиста врача для самостоятельной профессиональной деятельности, ориентированного в вопросах </w:t>
      </w:r>
      <w:proofErr w:type="spellStart"/>
      <w:r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6F4362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F70D31" w:rsidRPr="003B5993" w:rsidRDefault="00F70D31" w:rsidP="00F70D31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F70D31" w:rsidRPr="003B5993" w:rsidRDefault="00F70D31" w:rsidP="00F70D3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3B5993">
          <w:rPr>
            <w:rStyle w:val="ab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F70D31" w:rsidRPr="003B5993" w:rsidRDefault="00F70D31" w:rsidP="00F70D31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F70D31" w:rsidRPr="003B5993" w:rsidRDefault="00F70D31" w:rsidP="00F70D31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F70D31" w:rsidRPr="003B5993" w:rsidRDefault="00F70D31" w:rsidP="00F70D3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F70D31" w:rsidRPr="003B5993" w:rsidRDefault="00F70D31" w:rsidP="00F70D3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</w:t>
      </w:r>
      <w:r w:rsidRPr="003B5993">
        <w:rPr>
          <w:rFonts w:ascii="Times New Roman" w:hAnsi="Times New Roman"/>
          <w:color w:val="000000" w:themeColor="text1"/>
        </w:rPr>
        <w:lastRenderedPageBreak/>
        <w:t>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F70D31" w:rsidRPr="003B5993" w:rsidRDefault="00F70D31" w:rsidP="00F7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3623" w:rsidRPr="00A07C20" w:rsidRDefault="00923623" w:rsidP="0092362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  <w:bookmarkStart w:id="0" w:name="_Toc434831564"/>
      <w:bookmarkStart w:id="1" w:name="_Toc433901875"/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Хирургия</w:t>
      </w:r>
    </w:p>
    <w:p w:rsidR="00923623" w:rsidRPr="00A07C20" w:rsidRDefault="00923623" w:rsidP="009236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                       </w:t>
      </w:r>
    </w:p>
    <w:p w:rsidR="00923623" w:rsidRPr="00A07C20" w:rsidRDefault="00923623" w:rsidP="009236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23623" w:rsidRPr="00A07C20" w:rsidRDefault="00923623" w:rsidP="00923623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A07C20">
        <w:rPr>
          <w:rFonts w:ascii="Times New Roman" w:hAnsi="Times New Roman"/>
          <w:color w:val="000000" w:themeColor="text1"/>
        </w:rPr>
        <w:t>подготовка</w:t>
      </w:r>
      <w:proofErr w:type="gramEnd"/>
      <w:r w:rsidRPr="00A07C20">
        <w:rPr>
          <w:rFonts w:ascii="Times New Roman" w:hAnsi="Times New Roman"/>
          <w:color w:val="000000" w:themeColor="text1"/>
        </w:rPr>
        <w:t xml:space="preserve"> специалиста для самостоятельной деятельности в качестве врача.</w:t>
      </w:r>
    </w:p>
    <w:p w:rsidR="00923623" w:rsidRPr="00A07C20" w:rsidRDefault="00923623" w:rsidP="009236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923623" w:rsidRPr="00A07C20" w:rsidRDefault="00923623" w:rsidP="00923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6F4362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923623" w:rsidRPr="00A07C20" w:rsidRDefault="00923623" w:rsidP="00923623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7C2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8"/>
        <w:gridCol w:w="8586"/>
      </w:tblGrid>
      <w:tr w:rsidR="00923623" w:rsidRPr="00A07C20" w:rsidTr="00176055">
        <w:tc>
          <w:tcPr>
            <w:tcW w:w="1220" w:type="dxa"/>
            <w:shd w:val="clear" w:color="auto" w:fill="auto"/>
            <w:vAlign w:val="center"/>
          </w:tcPr>
          <w:p w:rsidR="00923623" w:rsidRPr="00A07C20" w:rsidRDefault="00923623" w:rsidP="00176055">
            <w:pPr>
              <w:spacing w:after="0"/>
              <w:jc w:val="center"/>
              <w:rPr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923623" w:rsidRPr="00A07C20" w:rsidRDefault="00923623" w:rsidP="00176055">
            <w:pPr>
              <w:spacing w:after="0"/>
              <w:jc w:val="center"/>
              <w:rPr>
                <w:color w:val="000000" w:themeColor="text1"/>
              </w:rPr>
            </w:pPr>
            <w:proofErr w:type="gramStart"/>
            <w:r w:rsidRPr="00A07C2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A07C20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923623" w:rsidRPr="00A07C20" w:rsidTr="00176055">
        <w:tc>
          <w:tcPr>
            <w:tcW w:w="1220" w:type="dxa"/>
            <w:shd w:val="clear" w:color="auto" w:fill="auto"/>
            <w:vAlign w:val="center"/>
          </w:tcPr>
          <w:p w:rsidR="00923623" w:rsidRPr="00A07C20" w:rsidRDefault="00923623" w:rsidP="0017605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7C2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97" w:type="dxa"/>
            <w:shd w:val="clear" w:color="auto" w:fill="auto"/>
            <w:vAlign w:val="center"/>
          </w:tcPr>
          <w:p w:rsidR="00923623" w:rsidRPr="00A07C20" w:rsidRDefault="00923623" w:rsidP="00176055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07C2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A07C20">
              <w:rPr>
                <w:rFonts w:ascii="Times New Roman" w:hAnsi="Times New Roman"/>
                <w:color w:val="000000" w:themeColor="text1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923623" w:rsidRPr="00A07C20" w:rsidRDefault="00923623" w:rsidP="00923623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3623" w:rsidRPr="00A07C20" w:rsidRDefault="00923623" w:rsidP="0092362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923623" w:rsidRPr="00A07C20" w:rsidRDefault="00923623" w:rsidP="0092362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грудной клетки</w:t>
      </w:r>
    </w:p>
    <w:p w:rsidR="00923623" w:rsidRPr="00A07C20" w:rsidRDefault="00923623" w:rsidP="0092362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органов брюшной полости</w:t>
      </w:r>
    </w:p>
    <w:p w:rsidR="00923623" w:rsidRPr="00A07C20" w:rsidRDefault="00923623" w:rsidP="0092362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сосудов и мягких тканей</w:t>
      </w:r>
    </w:p>
    <w:p w:rsidR="00923623" w:rsidRPr="00A07C20" w:rsidRDefault="00923623" w:rsidP="009236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A07C20">
        <w:rPr>
          <w:rFonts w:ascii="Times New Roman" w:hAnsi="Times New Roman"/>
          <w:color w:val="000000" w:themeColor="text1"/>
        </w:rPr>
        <w:t>Хирургическая патология как осложнение инфекционного процесса</w:t>
      </w:r>
    </w:p>
    <w:p w:rsidR="00770F50" w:rsidRPr="003B5993" w:rsidRDefault="00BC0F09" w:rsidP="00F70D31">
      <w:pPr>
        <w:keepNext/>
        <w:keepLines/>
        <w:tabs>
          <w:tab w:val="center" w:pos="4677"/>
          <w:tab w:val="left" w:pos="6345"/>
        </w:tabs>
        <w:spacing w:before="480" w:after="0"/>
        <w:outlineLvl w:val="0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ab/>
      </w:r>
      <w:bookmarkEnd w:id="0"/>
      <w:bookmarkEnd w:id="1"/>
      <w:r w:rsidR="00770F50" w:rsidRPr="003B5993">
        <w:rPr>
          <w:rFonts w:ascii="Times New Roman" w:hAnsi="Times New Roman"/>
          <w:b/>
          <w:color w:val="000000" w:themeColor="text1"/>
        </w:rPr>
        <w:t>Детская онкология</w:t>
      </w:r>
    </w:p>
    <w:p w:rsidR="00770F50" w:rsidRPr="003B5993" w:rsidRDefault="00770F50" w:rsidP="00770F50">
      <w:pPr>
        <w:spacing w:after="0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Цель освоения дисциплины</w:t>
      </w:r>
      <w:r w:rsidRPr="003B5993">
        <w:rPr>
          <w:rFonts w:ascii="Times New Roman" w:hAnsi="Times New Roman"/>
          <w:color w:val="000000" w:themeColor="text1"/>
        </w:rPr>
        <w:t>:</w:t>
      </w:r>
    </w:p>
    <w:p w:rsidR="00F70D31" w:rsidRPr="003B5993" w:rsidRDefault="00F70D31" w:rsidP="0058375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Подготовка квалифицированного врача-специалиста онколога, обладающего системой профессиональных компетенций в общих вопросах и принципах диагностики и лечения опухолей у детей в лечебных учреждениях всех систем здравоохранения в целях преемственности наблюдения за пациентами, излеченными от злокачественных опухолей в детском возрасте.</w:t>
      </w:r>
    </w:p>
    <w:p w:rsidR="00770F50" w:rsidRPr="003B5993" w:rsidRDefault="00770F50" w:rsidP="0058375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70F50" w:rsidRPr="003B5993" w:rsidRDefault="00770F50" w:rsidP="00770F5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ab/>
        <w:t>Дисциплина относится к вариативной части учебного плана.</w:t>
      </w:r>
    </w:p>
    <w:p w:rsidR="00770F50" w:rsidRPr="003B5993" w:rsidRDefault="00770F50" w:rsidP="00770F5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абстрактному мышлению, анализу, синтезу (УК-1);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F41E7" w:rsidRPr="003B5993" w:rsidRDefault="00AF41E7" w:rsidP="00AF41E7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ведению и лечению пациентов, нуждающихся в оказании онкологической медицинской помощи (ПК-6);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770F50" w:rsidRPr="003B5993" w:rsidRDefault="00770F50" w:rsidP="00770F50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Содержание дисциплины:</w:t>
      </w:r>
      <w:r w:rsidRPr="003B5993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5117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3B5993" w:rsidRPr="003B5993" w:rsidTr="006F4362">
        <w:trPr>
          <w:trHeight w:val="20"/>
        </w:trPr>
        <w:tc>
          <w:tcPr>
            <w:tcW w:w="730" w:type="pct"/>
            <w:shd w:val="clear" w:color="auto" w:fill="auto"/>
            <w:vAlign w:val="center"/>
          </w:tcPr>
          <w:p w:rsidR="00F70D31" w:rsidRPr="003B5993" w:rsidRDefault="00F70D31" w:rsidP="00F70D31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Детская онкология</w:t>
            </w:r>
          </w:p>
        </w:tc>
        <w:tc>
          <w:tcPr>
            <w:tcW w:w="4010" w:type="pct"/>
            <w:shd w:val="clear" w:color="auto" w:fill="auto"/>
          </w:tcPr>
          <w:p w:rsidR="00F70D31" w:rsidRPr="003B5993" w:rsidRDefault="00F70D31" w:rsidP="00F70D3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</w:pPr>
            <w:r w:rsidRPr="003B5993">
              <w:rPr>
                <w:rFonts w:ascii="Times New Roman" w:hAnsi="Times New Roman"/>
                <w:bCs/>
                <w:iCs/>
                <w:color w:val="000000" w:themeColor="text1"/>
                <w:spacing w:val="1"/>
              </w:rPr>
              <w:t>Организация онкологической помощи детям.</w:t>
            </w:r>
          </w:p>
          <w:p w:rsidR="00F70D31" w:rsidRPr="003B5993" w:rsidRDefault="00F70D31" w:rsidP="00F70D31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Основы социальной </w:t>
            </w:r>
            <w:proofErr w:type="gramStart"/>
            <w:r w:rsidRPr="003B5993">
              <w:rPr>
                <w:color w:val="000000" w:themeColor="text1"/>
                <w:sz w:val="22"/>
                <w:szCs w:val="22"/>
              </w:rPr>
              <w:t>гигиены  и</w:t>
            </w:r>
            <w:proofErr w:type="gramEnd"/>
            <w:r w:rsidRPr="003B5993">
              <w:rPr>
                <w:color w:val="000000" w:themeColor="text1"/>
                <w:sz w:val="22"/>
                <w:szCs w:val="22"/>
              </w:rPr>
              <w:t xml:space="preserve"> организации  онкологической помощи  детям, нормативные документы. </w:t>
            </w:r>
            <w:proofErr w:type="gramStart"/>
            <w:r w:rsidRPr="003B5993">
              <w:rPr>
                <w:color w:val="000000" w:themeColor="text1"/>
                <w:sz w:val="22"/>
                <w:szCs w:val="22"/>
              </w:rPr>
              <w:t>Основные  принципы</w:t>
            </w:r>
            <w:proofErr w:type="gramEnd"/>
            <w:r w:rsidRPr="003B5993">
              <w:rPr>
                <w:color w:val="000000" w:themeColor="text1"/>
                <w:sz w:val="22"/>
                <w:szCs w:val="22"/>
              </w:rPr>
              <w:t xml:space="preserve"> определения инвалидности и реабилитации детей с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онкопатологией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. Вопросы этики и деонтологии в профессиональной </w:t>
            </w:r>
            <w:proofErr w:type="gramStart"/>
            <w:r w:rsidRPr="003B5993">
              <w:rPr>
                <w:color w:val="000000" w:themeColor="text1"/>
                <w:sz w:val="22"/>
                <w:szCs w:val="22"/>
              </w:rPr>
              <w:t>деятельности  врача</w:t>
            </w:r>
            <w:proofErr w:type="gramEnd"/>
            <w:r w:rsidRPr="003B5993">
              <w:rPr>
                <w:color w:val="000000" w:themeColor="text1"/>
                <w:sz w:val="22"/>
                <w:szCs w:val="22"/>
              </w:rPr>
              <w:t>-детского онколога.</w:t>
            </w:r>
          </w:p>
          <w:p w:rsidR="00F70D31" w:rsidRPr="003B5993" w:rsidRDefault="00F70D31" w:rsidP="00F70D31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color w:val="000000" w:themeColor="text1"/>
                <w:sz w:val="22"/>
                <w:szCs w:val="22"/>
                <w:lang w:eastAsia="en-US"/>
              </w:rPr>
              <w:t>Морфология детских опухолей.</w:t>
            </w:r>
          </w:p>
          <w:p w:rsidR="00F70D31" w:rsidRPr="003B5993" w:rsidRDefault="00F70D31" w:rsidP="00F70D31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Элементы общей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онкоморфологии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>. Опухоли (их виды) и опухолеподобные процессы. Морфологические классификации опухолей. Роль и организация морфологического исследования.</w:t>
            </w:r>
          </w:p>
          <w:p w:rsidR="00F70D31" w:rsidRPr="003B5993" w:rsidRDefault="00F70D31" w:rsidP="00F70D31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Общие методы диагностики опухолей у детей.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</w:t>
            </w: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Принципы диагностики злокачественных опухолей у детей. Субъективное и объективное обследование больного ребенка. Лабораторные методы исследования.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Ренттено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>-диагностические исследования. Радиоизотопные исследования. Ультразвуковая диагностика опухолей. Эндоскопические исследования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Общие принципы лечения в детской онкологии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Хирургическое лечение. Лучевая терапия. Химиотерапия. Гормонотерапия. Иммунотерапия.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Опухоли кроветворной и лимфатической ткани.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</w:t>
            </w:r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Лейкозы. Лимфогранулематоз. </w:t>
            </w:r>
            <w:proofErr w:type="spellStart"/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Гематосаркомы</w:t>
            </w:r>
            <w:proofErr w:type="spellEnd"/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. </w:t>
            </w:r>
            <w:proofErr w:type="spellStart"/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Лимфоаденопатии</w:t>
            </w:r>
            <w:proofErr w:type="spellEnd"/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. </w:t>
            </w:r>
            <w:proofErr w:type="spellStart"/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>Гистиоцитарные</w:t>
            </w:r>
            <w:proofErr w:type="spellEnd"/>
            <w:r w:rsidRPr="003B5993">
              <w:rPr>
                <w:bCs/>
                <w:iCs/>
                <w:color w:val="000000" w:themeColor="text1"/>
                <w:spacing w:val="1"/>
                <w:sz w:val="22"/>
                <w:szCs w:val="22"/>
              </w:rPr>
              <w:t xml:space="preserve"> опухоли.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Солидные опухоли у детей</w:t>
            </w:r>
            <w:r w:rsidRPr="003B599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</w:t>
            </w:r>
            <w:r w:rsidRPr="003B599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Опухоли центральной нервной системы. Опухоли глаза и орбиты. Опухоли щитовидной железы. Опухоли тимуса и других органов грудной клетки. Органные и </w:t>
            </w:r>
            <w:proofErr w:type="spellStart"/>
            <w:r w:rsidRPr="003B5993">
              <w:rPr>
                <w:rFonts w:eastAsia="Times New Roman"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3B599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опухоли брюшной полости и забрюшинного пространства. Опухоли женских половых органов. Опухоли мочевого пузыря. Опухоли опорно-двигательного аппарата. Эпителиальные и </w:t>
            </w:r>
            <w:proofErr w:type="spellStart"/>
            <w:r w:rsidRPr="003B5993">
              <w:rPr>
                <w:rFonts w:eastAsia="Times New Roman"/>
                <w:color w:val="000000" w:themeColor="text1"/>
                <w:sz w:val="22"/>
                <w:szCs w:val="22"/>
              </w:rPr>
              <w:t>неэпителиальные</w:t>
            </w:r>
            <w:proofErr w:type="spellEnd"/>
            <w:r w:rsidRPr="003B599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опухоли кожи. Меланома. </w:t>
            </w:r>
          </w:p>
        </w:tc>
      </w:tr>
    </w:tbl>
    <w:p w:rsidR="00131CFA" w:rsidRPr="003B5993" w:rsidRDefault="00131CFA" w:rsidP="005A0E56">
      <w:pPr>
        <w:pStyle w:val="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Химиотерапия</w:t>
      </w:r>
    </w:p>
    <w:p w:rsidR="00131CFA" w:rsidRPr="003B5993" w:rsidRDefault="00131CFA" w:rsidP="00131CFA">
      <w:pPr>
        <w:spacing w:after="0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Цель освоения дисциплины</w:t>
      </w:r>
      <w:r w:rsidRPr="003B5993">
        <w:rPr>
          <w:rFonts w:ascii="Times New Roman" w:hAnsi="Times New Roman"/>
          <w:color w:val="000000" w:themeColor="text1"/>
        </w:rPr>
        <w:t>:</w:t>
      </w:r>
    </w:p>
    <w:p w:rsidR="00131CFA" w:rsidRPr="003B5993" w:rsidRDefault="00BC6F45" w:rsidP="00770F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П</w:t>
      </w:r>
      <w:r w:rsidR="00131CFA" w:rsidRPr="003B5993">
        <w:rPr>
          <w:rFonts w:ascii="Times New Roman" w:hAnsi="Times New Roman"/>
          <w:color w:val="000000" w:themeColor="text1"/>
        </w:rPr>
        <w:t>одготовка квалифицированного врача-специалиста онколога, обладающего системой профессиональных компетенций в области химиотерапии злокачественных опухолей, способного и готового для самостоятельной профессиональной деятельности в должности медицинских работников по данной специальности в лечебных учреждениях всех систем здравоохранения и условий оказания медицинской помощи.</w:t>
      </w:r>
    </w:p>
    <w:p w:rsidR="00131CFA" w:rsidRPr="003B5993" w:rsidRDefault="00131CFA" w:rsidP="00BC6F4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31CFA" w:rsidRPr="003B5993" w:rsidRDefault="00131CFA" w:rsidP="00BC6F4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131CFA" w:rsidRPr="003B5993" w:rsidRDefault="00131CFA" w:rsidP="00BC6F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абстрактному мышлению, анализу, синтезу (УК-1);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AF41E7" w:rsidRPr="003B5993" w:rsidRDefault="00493C1A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r w:rsidR="00AF41E7"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AF41E7" w:rsidRPr="003B5993" w:rsidRDefault="00AF41E7" w:rsidP="00AF41E7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ведению и лечению пациентов, нуждающихся в оказании онкологической медицинской помощи (ПК-6);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AF41E7" w:rsidRPr="003B5993" w:rsidRDefault="00AF41E7" w:rsidP="00AF41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AF41E7" w:rsidRPr="003B5993" w:rsidRDefault="00AF41E7" w:rsidP="00493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AF41E7" w:rsidRPr="003B5993" w:rsidRDefault="00AF41E7" w:rsidP="00493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131CFA" w:rsidRPr="003B5993" w:rsidRDefault="00131CFA" w:rsidP="00493C1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Содержание дисциплины:</w:t>
      </w:r>
      <w:r w:rsidRPr="003B5993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8100"/>
      </w:tblGrid>
      <w:tr w:rsidR="00F70D31" w:rsidRPr="003B5993" w:rsidTr="006F4362">
        <w:trPr>
          <w:trHeight w:val="20"/>
        </w:trPr>
        <w:tc>
          <w:tcPr>
            <w:tcW w:w="730" w:type="pct"/>
          </w:tcPr>
          <w:p w:rsidR="00F70D31" w:rsidRPr="003B5993" w:rsidRDefault="00F70D31" w:rsidP="00F70D31">
            <w:pPr>
              <w:pStyle w:val="210"/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pacing w:val="1"/>
                <w:sz w:val="22"/>
                <w:szCs w:val="22"/>
              </w:rPr>
            </w:pPr>
            <w:r w:rsidRPr="003B5993">
              <w:rPr>
                <w:rFonts w:ascii="Times New Roman" w:hAnsi="Times New Roman" w:cs="Times New Roman"/>
                <w:bCs/>
                <w:iCs/>
                <w:color w:val="000000" w:themeColor="text1"/>
                <w:spacing w:val="1"/>
                <w:sz w:val="22"/>
                <w:szCs w:val="22"/>
              </w:rPr>
              <w:t>Лекарственная терапия злокачественных новообразований</w:t>
            </w:r>
          </w:p>
        </w:tc>
        <w:tc>
          <w:tcPr>
            <w:tcW w:w="4010" w:type="pct"/>
          </w:tcPr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Лекарственные средства противоопухолевого действия.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История вопроса. Принципы лекарственной терапии в онкологии, показания и противопоказания. Современные возможности. Оценка лечебного действия противоопухолевых средств. Клинико-фармакологическая характеристика противоопухолевых средств. Побочные реакции и осложнения противоопухолевой лекарственной терапии. Особенности противоопухолевой терапии у лиц пожилого возраста.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Химиотерапия злокачественных опухолей.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Классификация цитотоксических препаратов. Показания и противопоказания к проведению химиотерапии. Индукционная,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неоадъювантная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адъювантная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химиотерапия. Побочные эффекты, профилактика и лечение осложнений цитотоксической терапии.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Эндокринотерапия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в онкологии.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Классификация гормональных препаратов. Показания к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эндокринотерапии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злокачественных опухолей. Побочные эффекты и осложнения.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Эндокринотерапия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при раке молочной железы, простаты.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Иммунотерапия злокачественных опухолей.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Препараты для иммунотерапии злокачественных опухолей. Ингибиторы контрольных точек иммунного ответа. Модификаторы биологических реакций (цитокины, иммуномодуляторы). Противоопухолевые вакцины. Показания к иммунотерапии. Побочные эффекты, профилактика и лечение осложнений.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Таргетная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терапия злокачественных опухолей.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Понятие о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таргетной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терапии опухолей. Механизм действия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таргетных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препаратов. Показания к применению. Побочные эффекты, профилактика и лечение осложнений.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Поддерживающая терапия в онкологии. </w:t>
            </w:r>
          </w:p>
          <w:p w:rsidR="00F70D31" w:rsidRPr="003B5993" w:rsidRDefault="00F70D31" w:rsidP="00F70D31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История поддерживающей терапии. Анемии в онкологии. Профилактика и лечение фебрильной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нейтропении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, тошноты и рвоты на фоне химиотерапии, гастроинтестинальных осложнений (диарея, запоры), дерматологических осложнений, патологии костной ткани у онкологических больных, почечных и печеночных осложнений,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иммунно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-опосредованных осложнений. Осложнения ингибиторов CDK 4/6 и эндокринной терапии. Кардиоваскулярные и тромбоэмболические осложнения.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Нутритивная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поддержка в онкологии. Синдром анорексии-кахексии.</w:t>
            </w:r>
          </w:p>
        </w:tc>
      </w:tr>
    </w:tbl>
    <w:p w:rsidR="008763C0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F4362" w:rsidRPr="003B5993" w:rsidRDefault="006F4362" w:rsidP="006F4362">
      <w:pPr>
        <w:pStyle w:val="4"/>
      </w:pPr>
      <w:r w:rsidRPr="003B5993">
        <w:t>Производственная (клиническая) практика. Базовая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Закрепление теоретических знаний, развитие практических умений и навыков, полученных в процессе обучения врача-ординатора и формирование профессиональных компетенций врача-онколога, т. е. приобретение опыта в решении реальных профессиональных задач.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(ПК-3).</w:t>
      </w:r>
    </w:p>
    <w:p w:rsidR="006F4362" w:rsidRPr="003B5993" w:rsidRDefault="006F4362" w:rsidP="006F4362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ведению и лечению пациентов, нуждающихся в оказании онкологической медицинской помощи (ПК-6);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организации медицинской помощи при чрезвычайных ситуациях, в том числе медицинской эвакуации (ПК-12)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pPr w:leftFromText="180" w:rightFromText="180" w:vertAnchor="text" w:horzAnchor="margin" w:tblpX="108" w:tblpY="426"/>
        <w:tblW w:w="9747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2875"/>
        <w:gridCol w:w="6872"/>
      </w:tblGrid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Основы организации онкологической помощи населению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Основные положения Приказа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Минздравсоцразвития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России об организации онкологической помощи населению.</w:t>
            </w:r>
          </w:p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Вопросы профилактики онкологических заболеваний.</w:t>
            </w:r>
          </w:p>
          <w:p w:rsidR="006F4362" w:rsidRPr="003B5993" w:rsidRDefault="006F4362" w:rsidP="009750C7">
            <w:pPr>
              <w:pStyle w:val="31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Вопросы организации онкологической помощи в России.</w:t>
            </w:r>
          </w:p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Вопросы медицинской психологии, этики и деонтологии в онкологии.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Общие принципы диагностики и лечения злокачественных опухолей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Принципы диагностики злокачественных опухолей. Субъективное и объективное исследование пациента. Лабораторные методы исследования.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Ренттено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-диагностические исследования. Радиоизотопные исследования. Позитронно-эмиссионная томография. </w:t>
            </w:r>
            <w:r w:rsidRPr="003B5993">
              <w:rPr>
                <w:bCs/>
                <w:color w:val="000000" w:themeColor="text1"/>
                <w:sz w:val="22"/>
                <w:szCs w:val="22"/>
              </w:rPr>
              <w:lastRenderedPageBreak/>
              <w:t>Ультразвуковая диагностика опухолей. Эндоскопические исследования. Современные принципы лечения злокачественных опухолей. Общие принципы хирургического лечения злокачественных опухолей. Общие принципы лучевой терапии злокачественных опухолей. Общие принципы лекарственной терапии злокачественных опухолей и паллиативной помощи.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lastRenderedPageBreak/>
              <w:t>Опухоли головы и шеи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center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Хирургическая анатомия и оперативная хирургия лицевого отдела головы и шеи. Злокачественные опухоли губы, языка и слизистой оболочки щеки, дна полости рта, твердого и мягкого неба, опухоли слюнных желез. Злокачественные опухоли нижней челюсти. Злокачественные опухоли слизистой полости носа, придаточных пазух и носоглотки. Опухоли гортани. Злокачественные опухоли щитовидной железы.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опухоли шеи. Опухоли ротоглотки и гортаноглотки. 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Опухоли органов грудной клетки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center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Топографическая анатомия и оперативная хирургия. Опухоли переднего и заднего средостения. Опухоли вилочковой железы. Опухоли трахеи. Рак пищевода. Рак легкого. Первичные и вторичные опухоли плевры.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Опухоли органов брюшной полости. Забрюшинные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и органные опухоли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Топографическая анатомия и оперативная хирургия. Опухоли желудка, поджелудочной железы, внепеченочных желчных протоков, желчного пузыря. Первичный и метастатический рак печени. Гастроинтестинальные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стромальные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опухоли. Опухоли ободочной и прямой кишок. Забрюшинные органные и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опухоли. 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Опухоли женских половых органов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center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Топографическая анатомия и оперативная хирургия. Опухоли шейки матки, тела матки. Опухоли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трофобласта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>. Первичные и метастатические опухоли яичников. Опухоли придатков матки, влагалища и вульвы.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Опухоли молочной железы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bottom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Топографическая анатомия, эмбриология и гистология. Предопухолевые заболевания и доброкачественные опухоли молочных желез. Рак молочной железы и злокачественные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неэпителиальные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опухоли.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Опухоли кожи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Нормальная анатомия и гистологическое строение кожи. Рак кожи.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Неэпитальные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опухоли кожи и меланома.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Опухоли опорно-двигательного аппарата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center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Топографическая анатомия конечностей, таза и позвоночника. Опухоли костей. Опухоли мягких тканей.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Опухоли кроветворной и лимфатической ткани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Множественная миелома. Лейкозы.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Лимфома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Ходжкина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Неходжкинские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лимфомы</w:t>
            </w:r>
            <w:proofErr w:type="spellEnd"/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Опухоли органов мочевыделительной системы и мужских половых органов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center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>Топографическая анатомия и оперативная хирургия. Опухоли почек и мочеточников. Опухоли мочевого пузыря. Рак предстательной железы. Опухоли яичка и его придатков. Опухоли полового члена.</w:t>
            </w:r>
          </w:p>
        </w:tc>
      </w:tr>
      <w:tr w:rsidR="006F4362" w:rsidRPr="003B5993" w:rsidTr="009750C7">
        <w:tc>
          <w:tcPr>
            <w:tcW w:w="2694" w:type="dxa"/>
            <w:shd w:val="clear" w:color="auto" w:fill="auto"/>
            <w:tcMar>
              <w:left w:w="48" w:type="dxa"/>
            </w:tcMar>
          </w:tcPr>
          <w:p w:rsidR="006F4362" w:rsidRPr="003B5993" w:rsidRDefault="006F4362" w:rsidP="009750C7">
            <w:pPr>
              <w:pStyle w:val="a"/>
              <w:ind w:left="0" w:firstLine="0"/>
              <w:contextualSpacing w:val="0"/>
              <w:jc w:val="left"/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</w:pPr>
            <w:r w:rsidRPr="003B5993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Другие опухоли</w:t>
            </w:r>
          </w:p>
        </w:tc>
        <w:tc>
          <w:tcPr>
            <w:tcW w:w="6438" w:type="dxa"/>
            <w:shd w:val="clear" w:color="auto" w:fill="auto"/>
            <w:tcMar>
              <w:left w:w="48" w:type="dxa"/>
            </w:tcMar>
            <w:vAlign w:val="center"/>
          </w:tcPr>
          <w:p w:rsidR="006F4362" w:rsidRPr="003B5993" w:rsidRDefault="006F4362" w:rsidP="009750C7">
            <w:pPr>
              <w:pStyle w:val="31"/>
              <w:snapToGrid w:val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Первично-множественные злокачественные опухоли. Метастазы рака из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невыявленного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 xml:space="preserve"> первичного очага. Первичные и метастатические опухоли головного мозга. Общие принципы </w:t>
            </w:r>
            <w:proofErr w:type="spellStart"/>
            <w:r w:rsidRPr="003B5993">
              <w:rPr>
                <w:bCs/>
                <w:color w:val="000000" w:themeColor="text1"/>
                <w:sz w:val="22"/>
                <w:szCs w:val="22"/>
              </w:rPr>
              <w:t>нейроонкологии</w:t>
            </w:r>
            <w:proofErr w:type="spellEnd"/>
            <w:r w:rsidRPr="003B5993">
              <w:rPr>
                <w:bCs/>
                <w:color w:val="000000" w:themeColor="text1"/>
                <w:sz w:val="22"/>
                <w:szCs w:val="22"/>
              </w:rPr>
              <w:t>. Нейроэндокринные опухоли. Злокачественные опухоли и беременность.</w:t>
            </w:r>
          </w:p>
        </w:tc>
      </w:tr>
    </w:tbl>
    <w:p w:rsidR="006F4362" w:rsidRDefault="006F4362" w:rsidP="006F4362">
      <w:pPr>
        <w:pStyle w:val="5"/>
        <w:rPr>
          <w:color w:val="000000" w:themeColor="text1"/>
        </w:rPr>
      </w:pPr>
    </w:p>
    <w:p w:rsidR="006F4362" w:rsidRPr="003B5993" w:rsidRDefault="006F4362" w:rsidP="006F4362">
      <w:pPr>
        <w:pStyle w:val="5"/>
        <w:rPr>
          <w:rFonts w:eastAsia="Times New Roman"/>
          <w:color w:val="000000" w:themeColor="text1"/>
          <w:lang w:eastAsia="ru-RU"/>
        </w:rPr>
      </w:pPr>
      <w:r w:rsidRPr="003B5993">
        <w:rPr>
          <w:color w:val="000000" w:themeColor="text1"/>
        </w:rPr>
        <w:t>Производственная (клиническая) практика. Вариативная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Приобретение и совершенствование полученных в процессе обучения профессиональных умений, навыков и владений, необходимых врачу-онкологу для оказания высококвалифицированной медицинской помощи по профилю «онкология»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(ПК-3).</w:t>
      </w:r>
    </w:p>
    <w:p w:rsidR="006F4362" w:rsidRPr="003B5993" w:rsidRDefault="006F4362" w:rsidP="006F4362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ведению и лечению пациентов, нуждающихся в оказании онкологической медицинской помощи (ПК-6);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организации медицинской помощи при чрезвычайных ситуациях, в том числе медицинской эвакуации (ПК-12)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6F4362" w:rsidRPr="003B5993" w:rsidRDefault="006F4362" w:rsidP="006F43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Детская онкология. Организация онкологической помощи детям, морфология опухолей у детей, методы диагностики опухолей у детей, общие принципы лечения в детской онкологии, опухоли головы и шеи у детей, опухоли глаза и орбиты, опухоли органов грудной клетки, опухоли органов брюшной полости, забрюшинные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внеорганные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опухоли, опухоли половых органов, опухоли мочевыделительной системы, опухоли кожи, опухоли опорно-двигательного аппарата, опухоли кроветворной и лимфатической ткани.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Лекарственная терапия злокачественных опухолей. Режимы химиотерапии (стандартные,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дозоинтенсивные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, метрономные), расчет дозы. Особенности введения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цитостатиков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Инфузомат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. Техника введения </w:t>
      </w:r>
      <w:proofErr w:type="spellStart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цитостатиков</w:t>
      </w:r>
      <w:proofErr w:type="spellEnd"/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через центральные и периферические вены, через имплантированный венозный порт. Профилактика и лечение местных осложнений. Гормонотерапия. Иммунотерапия. Биотерапия. Оценка эффекта лекарственной терапии опухолей.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Изучение новых противоопухолевых препаратов и режимов, участие в клинических протоколах. Поддерживающая терапия.</w:t>
      </w: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F4362" w:rsidRPr="003B5993" w:rsidRDefault="006F4362" w:rsidP="006F4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F4362" w:rsidRPr="003B5993" w:rsidRDefault="006F4362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bookmarkStart w:id="2" w:name="_GoBack"/>
      <w:bookmarkEnd w:id="2"/>
    </w:p>
    <w:p w:rsidR="008763C0" w:rsidRPr="003B5993" w:rsidRDefault="008763C0" w:rsidP="008763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763C0" w:rsidRPr="003B5993" w:rsidRDefault="008763C0" w:rsidP="008763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ГОСУДАРСТВЕННАЯ ИТОГОВАЯ АТТЕСТАЦИЯ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763C0" w:rsidRPr="003B5993" w:rsidRDefault="008763C0" w:rsidP="008763C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Цель </w:t>
      </w:r>
      <w:r w:rsidRPr="003B5993">
        <w:rPr>
          <w:rFonts w:ascii="Times New Roman" w:hAnsi="Times New Roman"/>
          <w:b/>
          <w:color w:val="000000" w:themeColor="text1"/>
        </w:rPr>
        <w:t>государственной итоговой аттестации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763C0" w:rsidRPr="003B5993" w:rsidRDefault="008763C0" w:rsidP="008763C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Реализуется в базовой части учебного плана.</w:t>
      </w:r>
    </w:p>
    <w:p w:rsidR="008763C0" w:rsidRPr="003B5993" w:rsidRDefault="008763C0" w:rsidP="008763C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образовательной программы: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763C0" w:rsidRPr="003B5993" w:rsidRDefault="008763C0" w:rsidP="008763C0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ведению и лечению пациентов, нуждающихся в оказании онкологической медицинской помощи (ПК-6);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lastRenderedPageBreak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организации медицинской помощи при чрезвычайных ситуациях, в том числе медицинской эвакуации (ПК-12)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8763C0" w:rsidRPr="003B5993" w:rsidRDefault="008763C0" w:rsidP="008763C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504"/>
        <w:gridCol w:w="6851"/>
      </w:tblGrid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numPr>
                <w:ilvl w:val="0"/>
                <w:numId w:val="0"/>
              </w:numPr>
              <w:ind w:left="247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>Основы организации онкологической помощи населению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онкологической помощи.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Злокачественные опухоли – как угроза национальной безопасности в сфере охраны здоровья граждан. Статистика злокачественных новообразований в России – заболеваемость и смертность, их структура за 2018 год. Динамика этих показателей за 10 лет.  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Организация профилактики онкологических заболеваний. </w:t>
            </w:r>
            <w:r w:rsidRPr="006F4362">
              <w:rPr>
                <w:color w:val="000000" w:themeColor="text1"/>
                <w:sz w:val="22"/>
                <w:szCs w:val="22"/>
              </w:rPr>
              <w:t>Вопросы медицинской психологии, этики и деонтологии в онкологии.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iCs/>
                <w:color w:val="000000" w:themeColor="text1"/>
                <w:sz w:val="22"/>
                <w:szCs w:val="22"/>
              </w:rPr>
              <w:t>Вопросы экспериментальной и теоретической онкологии.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Морфология опухолей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Канцерогенез.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Основы канцерогенеза. Источники канцерогенных влияний. Профессиональный канцерогенез. Методы исследования в экспериментальной онкологии. Моделирование в экспериментальной онкологии. 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опухолевого роста.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Общие вопросы морфологии и морфогенеза опухолей. Опухоли (их виды) и опухолеподобные процессы.  Биология опухолевой клетки.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Апоптоз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. Основы генетики, цитогенетики и иммунологии опухолей.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Атипизм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– характерный признак опухоли. Виды: тканевой и клеточный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атипизм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>, ультраструктурный, биохимический, гистохимический. Рост опухоли, инвазия, рецидив. Метастазирование и его виды.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Методы диагностики в клинической онкологии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Методы диагностики в клинической онкологии.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Принципы диагностики злокачественных опухолей.  Субъективное и объективное клиническое исследование пациента. Клинико-лабораторные методы исследования. Лучевые (неионизирующие и ионизирующие) методы диагностики. Ультразвуковая диагностика опухолей. Рентген-диагностические исследования. Радиоизотопные исследования. Позитронно-эмиссионная томография. Эндоскопические исследования. Морфологические исследования биопсий.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Общие принципы лечения злокачественных опухолей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Общие принципы лечения злокачественных опухолей.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Современные принципы лечения злокачественных опухолей. Общие принципы хирургического лечения и лучевой терапии злокачественных опухолей. Комбинированное и комплексное лечение в онкологии.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Современное состояние лекарственного лечения в онкологии. </w:t>
            </w: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Общие принципы лекарственной терапии злокачественных опухолей (химиотерапия, гормонотерапия, </w:t>
            </w:r>
            <w:proofErr w:type="spellStart"/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таргетная</w:t>
            </w:r>
            <w:proofErr w:type="spellEnd"/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и иммунотерапия). Понятие о поддерживающей терапии и паллиативной медицинской помощи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Опухоли головы и шеи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Опухоли головы и шеи.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Злокачественные опухоли губы, языка и слизистой оболочки щеки, дна полости рта, твердого и мягкого неба, опухоли слюнных желез. Злокачественные опухоли нижней челюсти. Злокачественные опухоли слизистой полости носа, придаточных пазух и носоглотки. Опухоли гортани. Злокачественные опухоли щитовидной железы.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опухоли шеи. Опухоли ротоглотки и гортаноглотки.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Опухоли органов грудной клетки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Опухоли средостения и пищевода.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Опухоли переднего и заднего средостения. Классификация. Рак пищевода. Патологическая анатомия. Клиническая классификация и 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классификация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Современные подходы к радикальному лечению рака пищевода. Роль лучевой терапии. Отдаленные </w:t>
            </w:r>
            <w:proofErr w:type="gramStart"/>
            <w:r w:rsidRPr="006F4362">
              <w:rPr>
                <w:bCs/>
                <w:color w:val="000000" w:themeColor="text1"/>
                <w:sz w:val="22"/>
                <w:szCs w:val="22"/>
              </w:rPr>
              <w:t>результаты  лечения</w:t>
            </w:r>
            <w:proofErr w:type="gramEnd"/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Рак легкого.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Показатели и структура заболеваемости и смертности населения от первичного рака легкого. Значение курения в возникновении рака легкого. Клиническая классификация рака легкого по А.И. Савицкому. Классификация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. Клиника, диагностика, молекулярная биология и лечение. Клинические особенности рака легкого у женщин. Клинические особенности рака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Пэнкоста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>. Отдаленные результаты лечения рака легкого. Первичные и метастатические опухоли плевры.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lastRenderedPageBreak/>
              <w:t>Опухоли органов брюшной полости.</w:t>
            </w:r>
          </w:p>
          <w:p w:rsidR="00F70D31" w:rsidRPr="006F4362" w:rsidRDefault="00F70D31" w:rsidP="00F70D31">
            <w:pPr>
              <w:pStyle w:val="a"/>
              <w:ind w:left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Забрюшинные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и органные опухоли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Опухоли желудка и тонкой кишки.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Рак желудка. Классификация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Лаурена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, клиническая и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. Ранний рак желудка и его эндоскопическая классификация. Классификация рака желудка по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Borrman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’у и гистологическая классификация. Радикальное и паллиативное хирургическое лечение рака желудка. Показания к проведению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адъювантной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неоадъювантной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химиотерапии. Лучевая терапия в лечении рака желудка. Рак 12-перстной и тонкой кишки. Гастроинтестинальные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стромальные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опухоли. Их клинические особенности, диагностика и лечение.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Опухоли </w:t>
            </w:r>
            <w:proofErr w:type="spellStart"/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гепатопанкреатодуоденальной</w:t>
            </w:r>
            <w:proofErr w:type="spellEnd"/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зоны.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желтух</w:t>
            </w:r>
            <w:proofErr w:type="spellEnd"/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. Рак головки, тела и хвоста поджелудочной железы, внепеченочных желчных протоков, желчного пузыря. Рак </w:t>
            </w:r>
            <w:proofErr w:type="spellStart"/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фатерового</w:t>
            </w:r>
            <w:proofErr w:type="spellEnd"/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соска. Классификация </w:t>
            </w: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. Клинические проявления, диагностика, лечение. Первичный и метастатический рак печени. Диагностика и лечение.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Колоректальный</w:t>
            </w:r>
            <w:proofErr w:type="spellEnd"/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рак. Забрюшинные опухоли.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Опухоли ободочной и прямой кишок. Клиническая и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классификация. Клинические проявления рака, диагностика, дифференциальная диагностика,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лечение.Роль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полипоза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в развитии рака толстой кишки. Виды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полипоза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. Синдром наследственного семейного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колоректального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полипоза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. Синдром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Гарднера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Пейтца-</w:t>
            </w:r>
            <w:proofErr w:type="gramStart"/>
            <w:r w:rsidRPr="006F4362">
              <w:rPr>
                <w:bCs/>
                <w:color w:val="000000" w:themeColor="text1"/>
                <w:sz w:val="22"/>
                <w:szCs w:val="22"/>
              </w:rPr>
              <w:t>Егерса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>,  Лечение</w:t>
            </w:r>
            <w:proofErr w:type="gram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рака толстой кишки с метастазами в печень. Забрюшинные органные и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опухоли. Опухоли надпочечника. Клиника, диагностика, дифференциальная диагностика и лечение. Классификация забрюшинных опухолей по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Аккерману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. Клиника, диагностика и лечение. Особенности хирургического лечения рецидивов забрюшинных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внеорганных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опухолей и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внеорганных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опухолей таза. 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Опухоли женских половых органов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Рак шейки матки.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Заболеваемость, смертность и их структура при раке шейки матки. Вопросы эпидемиологии. Предопухолевые заболевания шейки матки. Этиология и патогенез. Ранняя диагностика и организация скрининга. Вопросы профилактики. Клиника рака шейки матки, диагностика, классификация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и принципы лечения.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Рак эндометрия. 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Заболеваемость, смертность и их структура при раке эндометрия. Вопросы эпидемиологии. Этиология и патогенез. Клиника, диагностика, классификация Т</w:t>
            </w: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NM</w:t>
            </w: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принципы лечения.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Рак яичников.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 Заболеваемость, смертность и их структура при раке яичников. Клиника, диагностика, роль наследственных факторов в развитии рака. Принципы лечения.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Опухоли молочной железы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Рак молочной железы.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Заболеваемость, смертность и их структура. Соотносительная роль внешне-средовых и наследственных факторов в возникновении рака </w:t>
            </w:r>
            <w:r w:rsidRPr="006F4362">
              <w:rPr>
                <w:color w:val="000000" w:themeColor="text1"/>
                <w:sz w:val="22"/>
                <w:szCs w:val="22"/>
              </w:rPr>
              <w:lastRenderedPageBreak/>
              <w:t>молочной железы. Клиническая и молекулярно-биологическая классификации рака молочной железы. Классификация Т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NM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. Клиника и диагностика рака молочной железы. Рак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Педжета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Лечение рака молочной железы.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Принципы лечения локализованного и метастатического рака молочной железы. Хирургическое лечение. Сторожевые лимфатические узлы. Радикальная резекция, радикальная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мастэктомия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>, операция Урбан-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Холдина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. Пластические и реконструктивные операции. Гормональная терапия. Химиотерапия.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Таргетная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терапия. 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lastRenderedPageBreak/>
              <w:t>Опухоли кожи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2"/>
                <w:szCs w:val="22"/>
              </w:rPr>
              <w:t>Опухоли кожи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>Злокачественные эпителиальные опухоли кожи. Клинико-морфологическая классификация. Классификация Т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NM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. Базальноклеточный рак кожи. Клиника, диагностика, лечение, результаты лечения. Рецидивы рака. Первично-множественный базальноклеточный рак кожи. Плоскоклеточный рак кожи. Закономерности метастазирования. Клиника, диагностика, лечение, результаты лечения. Опухоль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Меркеля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>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Меланома кожи. Предопухолевые и фоновые заболевания. Классификация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фототипов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кожи по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Фитцпатрику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и риск развития меланомы. Значение иммунных факторов в развитии меланомы. Клинические проявления меланомы. Клиническая классификация. Классификация по Кларку и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Бреслоу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. Классификация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. Гистологические варианты. Клинические ситуации, связанные с мутациями в генах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BRAF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NRAS</w:t>
            </w:r>
            <w:r w:rsidRPr="006F4362">
              <w:rPr>
                <w:color w:val="000000" w:themeColor="text1"/>
                <w:sz w:val="22"/>
                <w:szCs w:val="22"/>
              </w:rPr>
              <w:t>. Результаты лечения.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Саркома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Капоши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>. Роль иммунных факторов в этиологии. Клиника, диагностика, лечение.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Опухоли опорно-двигательного аппарата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Опухоли опорно-двигательного аппарата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Доброкачественные и злокачественные опухоли костной и хрящевой ткани. Классификация. Понятие «вторичных» злокачественных опухолей опорно-двигательного аппарата. Остеогенная саркома. Клиническая классификация. Клиника и диагностика. Эволюция хирургического лечения остеогенной саркомы. Резекция кости. Ампутация. Экзартикуляция. 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Межлопаточно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-грудная ампутация.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Межподвздошно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-брюшное вычленение.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Гемикорпорэктомия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. Показания к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эндопротезированию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конечностей в комплексном лечении злокачественны опухолей костей. Роль лекарственного лечения и лучевой терапии в комбинированном лечении. Отдаленные результаты лечения злокачественных опухолей костей.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Доброкачественные и злокачественные опухоли мягких тканей. Гистологическая классификация. Классификация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color w:val="000000" w:themeColor="text1"/>
                <w:sz w:val="22"/>
                <w:szCs w:val="22"/>
              </w:rPr>
              <w:t>. Клиника, диагностика и лечение.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Опухоли кроветворной и лимфатической ткани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Острые и хронические лейкозы.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Острые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лимфобластные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лейкозы, классификация, клиника, диагностика и лечение. Острые миелоидные лейкозы, классификация, клиника, диагностика и лечение. Хронические лейкозы:</w:t>
            </w:r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лимфоцитарные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миелоцитарные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гранулоцитарные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) и моноцитарные. Хронические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лимфоцитарные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лейкозы: хронический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лимфолейкоз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, болезнь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Сезари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лимфоматоз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кожи),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волосатоклеточный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лейкоз, парапротеинемические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гемобластозы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6F4362">
              <w:rPr>
                <w:sz w:val="22"/>
                <w:szCs w:val="22"/>
              </w:rPr>
              <w:fldChar w:fldCharType="begin"/>
            </w:r>
            <w:r w:rsidRPr="006F4362">
              <w:rPr>
                <w:color w:val="000000" w:themeColor="text1"/>
                <w:sz w:val="22"/>
                <w:szCs w:val="22"/>
              </w:rPr>
              <w:instrText xml:space="preserve"> HYPERLINK "https://www.krasotaimedicina.ru/diseases/hematologic/multiple-myeloma" </w:instrText>
            </w:r>
            <w:r w:rsidRPr="006F4362">
              <w:rPr>
                <w:sz w:val="22"/>
                <w:szCs w:val="22"/>
              </w:rPr>
              <w:fldChar w:fldCharType="separate"/>
            </w:r>
            <w:r w:rsidRPr="006F4362">
              <w:rPr>
                <w:rStyle w:val="ab"/>
                <w:color w:val="000000" w:themeColor="text1"/>
                <w:sz w:val="22"/>
                <w:szCs w:val="22"/>
              </w:rPr>
              <w:t>миеломная</w:t>
            </w:r>
            <w:proofErr w:type="spellEnd"/>
            <w:r w:rsidRPr="006F4362">
              <w:rPr>
                <w:rStyle w:val="ab"/>
                <w:color w:val="000000" w:themeColor="text1"/>
                <w:sz w:val="22"/>
                <w:szCs w:val="22"/>
              </w:rPr>
              <w:t xml:space="preserve"> болезнь</w:t>
            </w:r>
            <w:r w:rsidRPr="006F4362">
              <w:rPr>
                <w:rStyle w:val="ab"/>
                <w:color w:val="000000" w:themeColor="text1"/>
                <w:sz w:val="22"/>
                <w:szCs w:val="22"/>
                <w:u w:val="none"/>
              </w:rPr>
              <w:fldChar w:fldCharType="end"/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макроглобулинемия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Вальденстрема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, болезни легких цепей, </w:t>
            </w:r>
            <w:hyperlink r:id="rId10" w:history="1">
              <w:r w:rsidRPr="006F4362">
                <w:rPr>
                  <w:rStyle w:val="ab"/>
                  <w:color w:val="000000" w:themeColor="text1"/>
                  <w:sz w:val="22"/>
                  <w:szCs w:val="22"/>
                </w:rPr>
                <w:t>болезни тяжелых цепей</w:t>
              </w:r>
            </w:hyperlink>
            <w:r w:rsidRPr="006F4362">
              <w:rPr>
                <w:color w:val="000000" w:themeColor="text1"/>
                <w:sz w:val="22"/>
                <w:szCs w:val="22"/>
              </w:rPr>
              <w:t xml:space="preserve">). </w:t>
            </w:r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Хронические лейкозы </w:t>
            </w:r>
            <w:proofErr w:type="spellStart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>миелоцитарного</w:t>
            </w:r>
            <w:proofErr w:type="spellEnd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происхождения - хронический </w:t>
            </w:r>
            <w:proofErr w:type="spellStart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>миелолейкоз</w:t>
            </w:r>
            <w:proofErr w:type="spellEnd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, эритремия, </w:t>
            </w:r>
            <w:hyperlink r:id="rId11" w:history="1">
              <w:r w:rsidRPr="006F4362">
                <w:rPr>
                  <w:rFonts w:eastAsia="Droid Sans Fallback"/>
                  <w:color w:val="000000" w:themeColor="text1"/>
                  <w:kern w:val="2"/>
                  <w:sz w:val="22"/>
                  <w:szCs w:val="22"/>
                  <w:lang w:eastAsia="zh-CN" w:bidi="hi-IN"/>
                </w:rPr>
                <w:t>истинная полицитемия</w:t>
              </w:r>
            </w:hyperlink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, хронический </w:t>
            </w:r>
            <w:proofErr w:type="spellStart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>эритромиелоз</w:t>
            </w:r>
            <w:proofErr w:type="spellEnd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и др. Хронические лейкозы моноцитарного происхождения - хронический моноцитарный лейкоз и </w:t>
            </w:r>
            <w:proofErr w:type="spellStart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гистиоцитозы</w:t>
            </w:r>
            <w:proofErr w:type="spellEnd"/>
            <w:r w:rsidRPr="006F4362">
              <w:rPr>
                <w:rFonts w:eastAsia="Droid Sans Fallback"/>
                <w:color w:val="000000" w:themeColor="text1"/>
                <w:kern w:val="2"/>
                <w:sz w:val="22"/>
                <w:szCs w:val="22"/>
                <w:lang w:eastAsia="zh-CN" w:bidi="hi-IN"/>
              </w:rPr>
              <w:t>.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Клинические стадии хронических лейкозов. Общая гематологическая характеристика.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Злокачественные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лимфомы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>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>Классификация (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неходжкинские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лимфомы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лимфома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Ходжкина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). Общая клиническая характеристика. Клиническая и клинико-морфологическая характеристика. Дифференциальная клиническая диагностика. Классификация. Лечение. Отдаленные результаты.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Неходжкинские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лимфомы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. Причины,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стадирование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>, классификация. Локализованные и распространенные формы. Лечение. Отдаленные результаты.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lastRenderedPageBreak/>
              <w:t>Опухоли органов мочевыделительной системы и мужских половых органов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F4362">
              <w:rPr>
                <w:rFonts w:ascii="Times New Roman" w:hAnsi="Times New Roman"/>
                <w:bCs/>
                <w:iCs/>
                <w:color w:val="000000" w:themeColor="text1"/>
                <w:spacing w:val="-2"/>
                <w:sz w:val="22"/>
                <w:szCs w:val="22"/>
              </w:rPr>
              <w:t>Опухоли мочевыделительной системы и мужских половых органов.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Доброкачественные и злокачественные опухоли почки.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Паранеопластический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синдром при раке почки. Клиническая и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классификация рака почки. Клиника, диагностика и лечение. Особенности клинического течения рака лоханки почки.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Рак мочевого пузыря. Клиническая и TNM классификация рака мочевого пузыря. Клиника и диагностика. Особенности клинического течения рака мочевого пузыря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in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situ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. Лечение рака мочевого пузыря. Виды оперативных вмешательств. Значение лучевой терапии.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Адъювантная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иммунотерапия. Отдаленные результаты лечения.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Рак полового члена. Клиническая и </w:t>
            </w:r>
            <w:r w:rsidRPr="006F4362">
              <w:rPr>
                <w:color w:val="000000" w:themeColor="text1"/>
                <w:sz w:val="22"/>
                <w:szCs w:val="22"/>
                <w:lang w:val="en-US"/>
              </w:rPr>
              <w:t>TNM</w:t>
            </w:r>
            <w:r w:rsidRPr="006F4362">
              <w:rPr>
                <w:color w:val="000000" w:themeColor="text1"/>
                <w:sz w:val="22"/>
                <w:szCs w:val="22"/>
              </w:rPr>
              <w:t xml:space="preserve"> классификация. Клиника, дифференциальная диагностика и лечение.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>Рак уретры. Клинические проявления. Диагностика и лечение.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color w:val="000000" w:themeColor="text1"/>
                <w:sz w:val="22"/>
                <w:szCs w:val="22"/>
              </w:rPr>
              <w:t xml:space="preserve">Злокачественные опухоли яичка. Крипторхизм и рак. Классификация злокачественных опухолей яичка.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Семиномные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несеминомные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опухоли яичка. Клиника и диагностика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семином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яичка.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Несеминомные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опухоли яичка, классификация и клинические проявления. </w:t>
            </w:r>
            <w:proofErr w:type="spellStart"/>
            <w:r w:rsidRPr="006F4362">
              <w:rPr>
                <w:color w:val="000000" w:themeColor="text1"/>
                <w:sz w:val="22"/>
                <w:szCs w:val="22"/>
              </w:rPr>
              <w:t>Внегонадные</w:t>
            </w:r>
            <w:proofErr w:type="spellEnd"/>
            <w:r w:rsidRPr="006F4362">
              <w:rPr>
                <w:color w:val="000000" w:themeColor="text1"/>
                <w:sz w:val="22"/>
                <w:szCs w:val="22"/>
              </w:rPr>
              <w:t xml:space="preserve"> опухоли. Значение хирургического лечения и его особенности при новообразованиях яичка. Химиотерапия. Прогноз.</w:t>
            </w:r>
          </w:p>
        </w:tc>
      </w:tr>
      <w:tr w:rsidR="003B5993" w:rsidRPr="006F4362" w:rsidTr="006F4362">
        <w:trPr>
          <w:trHeight w:val="20"/>
        </w:trPr>
        <w:tc>
          <w:tcPr>
            <w:tcW w:w="2558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</w:pPr>
            <w:r w:rsidRPr="006F4362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Другие опухоли</w:t>
            </w:r>
          </w:p>
        </w:tc>
        <w:tc>
          <w:tcPr>
            <w:tcW w:w="7261" w:type="dxa"/>
            <w:shd w:val="clear" w:color="auto" w:fill="auto"/>
            <w:tcMar>
              <w:left w:w="23" w:type="dxa"/>
            </w:tcMar>
          </w:tcPr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Первично-множественные злокачественные опухоли. Метастазы рака из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невыявленного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первичного очага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Первично-множественные злокачественные опухоли.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Синхронные и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метахронные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первично-множественные злокачественные опухоли. Роль наследственных факторов в развитии первичной множественности злокачественных новообразований. Клинические критерии Р.Т.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Бильрота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Warren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and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F4362">
              <w:rPr>
                <w:bCs/>
                <w:color w:val="000000" w:themeColor="text1"/>
                <w:sz w:val="22"/>
                <w:szCs w:val="22"/>
                <w:lang w:val="en-US"/>
              </w:rPr>
              <w:t>Gates</w:t>
            </w: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, Н.Н. Петрова. Особенности хирургического лечения синхронных и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метахронных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опухолей.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Метастазы рака из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невыявленного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первичного очага – критерии диагноза, возрастно-половые особенности. Локализации «скрытого» рака, клинически проявляющегося метастазами из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невыявленного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первичного очага – клинические и патологоанатомические материалы. Асциты и плевриты.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Экстрагонадный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F4362">
              <w:rPr>
                <w:bCs/>
                <w:color w:val="000000" w:themeColor="text1"/>
                <w:sz w:val="22"/>
                <w:szCs w:val="22"/>
              </w:rPr>
              <w:t>герминогеноклеточный</w:t>
            </w:r>
            <w:proofErr w:type="spellEnd"/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 синдром, роль цитогенетического исследования.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bCs/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 xml:space="preserve">Нейроэндокринные опухоли. </w:t>
            </w:r>
          </w:p>
          <w:p w:rsidR="00F70D31" w:rsidRPr="006F4362" w:rsidRDefault="00F70D31" w:rsidP="00F70D31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F4362">
              <w:rPr>
                <w:bCs/>
                <w:color w:val="000000" w:themeColor="text1"/>
                <w:sz w:val="22"/>
                <w:szCs w:val="22"/>
              </w:rPr>
              <w:t>Определение понятий, клинические проявления, диагностика, значение морфологической и иммуноморфологической диагностики. Лечение.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564"/>
        <w:gridCol w:w="6791"/>
      </w:tblGrid>
      <w:tr w:rsidR="003B5993" w:rsidRPr="003B5993" w:rsidTr="006F4362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70D31" w:rsidRPr="003B5993" w:rsidRDefault="00F70D31" w:rsidP="00F70D31">
            <w:pPr>
              <w:snapToGrid w:val="0"/>
              <w:jc w:val="center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Правоведение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eastAsia="zh-CN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spacing w:after="120" w:line="480" w:lineRule="auto"/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</w:t>
            </w: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lastRenderedPageBreak/>
              <w:t>профессиональной деятельности медицинского работника. Законодательство в сфере охраны здоровья в РФ.</w:t>
            </w:r>
          </w:p>
          <w:p w:rsidR="00F70D31" w:rsidRPr="003B5993" w:rsidRDefault="00F70D31" w:rsidP="00F70D31">
            <w:pPr>
              <w:jc w:val="both"/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Правовой статус граждан в сфере здравоохранения. </w:t>
            </w:r>
            <w:r w:rsidRPr="003B5993">
              <w:rPr>
                <w:rFonts w:ascii="Times New Roman" w:eastAsia="Times New Roman" w:hAnsi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3B5993">
              <w:rPr>
                <w:rFonts w:ascii="Times New Roman" w:hAnsi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F70D31" w:rsidRPr="003B5993" w:rsidRDefault="00F70D31" w:rsidP="00F70D31">
            <w:pPr>
              <w:jc w:val="both"/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условия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3B5993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  <w:lang w:eastAsia="zh-CN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zh-CN"/>
              </w:rPr>
              <w:lastRenderedPageBreak/>
              <w:t>Правовое регулирование организации и управления в здравоохранении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3B599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Право на осуществление медицинской деятельности и фармацевтической деятельности.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Понятие </w:t>
            </w:r>
            <w:r w:rsidRPr="003B599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аккредитации специалиста.</w:t>
            </w:r>
          </w:p>
          <w:p w:rsidR="00F70D31" w:rsidRPr="003B5993" w:rsidRDefault="00F70D31" w:rsidP="00F70D3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F70D31" w:rsidRPr="003B5993" w:rsidRDefault="00F70D31" w:rsidP="00F70D3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3B5993" w:rsidRPr="003B5993" w:rsidTr="006F4362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70D31" w:rsidRPr="003B5993" w:rsidRDefault="00F70D31" w:rsidP="00F70D31">
            <w:pPr>
              <w:snapToGrid w:val="0"/>
              <w:jc w:val="center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Общие принципы экспертизы временной нетрудоспособности.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Основы медицинского страхования в Российской Федерации.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</w:t>
            </w:r>
            <w:r w:rsidRPr="003B5993">
              <w:rPr>
                <w:rFonts w:ascii="Times New Roman" w:hAnsi="Times New Roman"/>
                <w:color w:val="000000" w:themeColor="text1"/>
                <w:szCs w:val="22"/>
                <w:lang w:eastAsia="en-US"/>
              </w:rPr>
              <w:lastRenderedPageBreak/>
              <w:t xml:space="preserve">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3B5993" w:rsidRPr="003B5993" w:rsidTr="006F4362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70D31" w:rsidRPr="003B5993" w:rsidRDefault="00F70D31" w:rsidP="00F70D31">
            <w:pPr>
              <w:snapToGrid w:val="0"/>
              <w:jc w:val="center"/>
              <w:rPr>
                <w:rFonts w:ascii="Times New Roman" w:eastAsia="MS Mincho" w:hAnsi="Times New Roman"/>
                <w:color w:val="000000" w:themeColor="text1"/>
                <w:szCs w:val="22"/>
              </w:rPr>
            </w:pPr>
            <w:r w:rsidRPr="003B5993">
              <w:rPr>
                <w:rFonts w:ascii="Times New Roman" w:eastAsia="MS Mincho" w:hAnsi="Times New Roman"/>
                <w:b/>
                <w:color w:val="000000" w:themeColor="text1"/>
                <w:szCs w:val="22"/>
              </w:rPr>
              <w:lastRenderedPageBreak/>
              <w:t>Медицина чрезвычайных ситуаций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Задачи и организация службы чрезвычайных ситуаций (ЧС)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Медико-санитарное обеспечение при ЧС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Особенности работы с пострадавшими в ЧС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proofErr w:type="spellStart"/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Деонтологические</w:t>
            </w:r>
            <w:proofErr w:type="spellEnd"/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Эвакуация населения в ЧС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3B5993" w:rsidRPr="003B5993" w:rsidTr="006F4362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70D31" w:rsidRPr="003B5993" w:rsidRDefault="00F70D31" w:rsidP="00F70D31">
            <w:pPr>
              <w:snapToGrid w:val="0"/>
              <w:jc w:val="center"/>
              <w:rPr>
                <w:rFonts w:ascii="Times New Roman" w:eastAsia="MS Mincho" w:hAnsi="Times New Roman"/>
                <w:color w:val="000000" w:themeColor="text1"/>
                <w:szCs w:val="22"/>
              </w:rPr>
            </w:pPr>
            <w:r w:rsidRPr="003B5993">
              <w:rPr>
                <w:rFonts w:ascii="Times New Roman" w:eastAsia="MS Mincho" w:hAnsi="Times New Roman"/>
                <w:b/>
                <w:color w:val="000000" w:themeColor="text1"/>
                <w:szCs w:val="22"/>
              </w:rPr>
              <w:t>Педагогика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Педагогические аспекты профессиональной деятельности врача.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Педагогика: наука и практика. </w:t>
            </w:r>
          </w:p>
          <w:p w:rsidR="00F70D31" w:rsidRPr="003B5993" w:rsidRDefault="00F70D31" w:rsidP="00F70D3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en-US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Просветительская  работа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врача. Педагогические задачи врача. </w:t>
            </w:r>
          </w:p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реабилитации  для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пациентов.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val="es-ES" w:eastAsia="en-US"/>
              </w:rPr>
              <w:t>Человек как ценность: проблемы деонтологии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val="es-ES" w:eastAsia="en-US"/>
              </w:rPr>
              <w:t xml:space="preserve"> </w:t>
            </w:r>
            <w:r w:rsidRPr="003B599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Холистический (целостный) подход к человеку.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val="es-ES" w:eastAsia="en-US"/>
              </w:rPr>
              <w:t xml:space="preserve">Педагогические аспекты работы врача с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различными категориями населения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val="es-ES" w:eastAsia="en-US"/>
              </w:rPr>
              <w:t>.</w:t>
            </w:r>
            <w:r w:rsidRPr="003B599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F70D31" w:rsidRPr="003B5993" w:rsidRDefault="00F70D31" w:rsidP="00F70D3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Культура в медицине: общая и узкопрофессиональная.</w:t>
            </w:r>
          </w:p>
          <w:p w:rsidR="00F70D31" w:rsidRPr="003B5993" w:rsidRDefault="00F70D31" w:rsidP="00F70D3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Нравственная культура врача. Модели отношений «врач-пациент».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B5993" w:rsidRPr="003B5993" w:rsidTr="006F4362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70D31" w:rsidRPr="003B5993" w:rsidRDefault="00F70D31" w:rsidP="00F70D31">
            <w:pPr>
              <w:tabs>
                <w:tab w:val="left" w:pos="1350"/>
              </w:tabs>
              <w:snapToGrid w:val="0"/>
              <w:jc w:val="center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Патология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Этиологические и патологические аспекты заболеваний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Этиологические и патологические аспекты заболеваний</w:t>
            </w:r>
          </w:p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  <w:vAlign w:val="center"/>
          </w:tcPr>
          <w:p w:rsidR="00F70D31" w:rsidRPr="003B5993" w:rsidRDefault="00F70D31" w:rsidP="00F70D3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Характер типического патологического процесса и его клинические проявления в динамике развития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различных по этиологии и патогенезу заболеваний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pStyle w:val="af0"/>
              <w:framePr w:hSpace="0" w:wrap="auto" w:vAnchor="margin" w:yAlign="inline"/>
              <w:suppressOverlap w:val="0"/>
              <w:rPr>
                <w:color w:val="000000" w:themeColor="text1"/>
              </w:rPr>
            </w:pPr>
            <w:r w:rsidRPr="003B5993">
              <w:rPr>
                <w:color w:val="000000" w:themeColor="text1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3B5993" w:rsidRPr="003B5993" w:rsidTr="006F4362">
        <w:trPr>
          <w:trHeight w:val="20"/>
        </w:trPr>
        <w:tc>
          <w:tcPr>
            <w:tcW w:w="9768" w:type="dxa"/>
            <w:gridSpan w:val="2"/>
            <w:tcMar>
              <w:left w:w="23" w:type="dxa"/>
            </w:tcMar>
          </w:tcPr>
          <w:p w:rsidR="00F70D31" w:rsidRPr="003B5993" w:rsidRDefault="00F70D31" w:rsidP="00F70D31">
            <w:pPr>
              <w:snapToGrid w:val="0"/>
              <w:jc w:val="center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lastRenderedPageBreak/>
              <w:t>Медицинская информатика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3B5993" w:rsidRPr="003B5993" w:rsidTr="006F4362">
        <w:trPr>
          <w:trHeight w:val="20"/>
        </w:trPr>
        <w:tc>
          <w:tcPr>
            <w:tcW w:w="261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7154" w:type="dxa"/>
            <w:tcMar>
              <w:left w:w="23" w:type="dxa"/>
            </w:tcMar>
          </w:tcPr>
          <w:p w:rsidR="00F70D31" w:rsidRPr="003B5993" w:rsidRDefault="00F70D31" w:rsidP="00F70D31">
            <w:pPr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F70D31" w:rsidRPr="003B5993" w:rsidRDefault="00F70D31" w:rsidP="00F70D31">
            <w:pPr>
              <w:ind w:right="-150"/>
              <w:contextualSpacing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Навигация в WWW и поиск профильной медицинской информации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Поиск медицинских публикаций в базе данных «</w:t>
            </w:r>
            <w:proofErr w:type="spell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MedLine</w:t>
            </w:r>
            <w:proofErr w:type="spellEnd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». Классификация профессиональных медицинских ресурсов </w:t>
            </w:r>
            <w:proofErr w:type="spellStart"/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Internet</w:t>
            </w:r>
            <w:proofErr w:type="spellEnd"/>
          </w:p>
        </w:tc>
      </w:tr>
    </w:tbl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7521"/>
      </w:tblGrid>
      <w:tr w:rsidR="003B5993" w:rsidRPr="00923623" w:rsidTr="006F4362">
        <w:trPr>
          <w:trHeight w:val="20"/>
        </w:trPr>
        <w:tc>
          <w:tcPr>
            <w:tcW w:w="5000" w:type="pct"/>
            <w:gridSpan w:val="2"/>
          </w:tcPr>
          <w:p w:rsidR="00F70D31" w:rsidRPr="00923623" w:rsidRDefault="00F70D31" w:rsidP="00923623">
            <w:pPr>
              <w:spacing w:after="0"/>
              <w:contextualSpacing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Инфекционные болезни</w:t>
            </w:r>
          </w:p>
        </w:tc>
      </w:tr>
      <w:tr w:rsidR="003B5993" w:rsidRPr="00923623" w:rsidTr="006F4362">
        <w:trPr>
          <w:trHeight w:val="20"/>
        </w:trPr>
        <w:tc>
          <w:tcPr>
            <w:tcW w:w="980" w:type="pct"/>
          </w:tcPr>
          <w:p w:rsidR="00F70D31" w:rsidRPr="00923623" w:rsidRDefault="00F70D31" w:rsidP="00923623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spacing w:val="-4"/>
                <w:lang w:eastAsia="ru-RU"/>
              </w:rPr>
              <w:lastRenderedPageBreak/>
              <w:t>Общие вопросы социально значимых инфекционных болезней</w:t>
            </w:r>
            <w:r w:rsidRPr="00923623">
              <w:rPr>
                <w:rFonts w:ascii="Times New Roman" w:hAnsi="Times New Roman"/>
                <w:b/>
                <w:color w:val="000000" w:themeColor="text1"/>
                <w:spacing w:val="-4"/>
                <w:lang w:eastAsia="ru-RU"/>
              </w:rPr>
              <w:t>.</w:t>
            </w:r>
          </w:p>
        </w:tc>
        <w:tc>
          <w:tcPr>
            <w:tcW w:w="4020" w:type="pct"/>
          </w:tcPr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Возбудители инфекционных болезней в современном мире</w:t>
            </w:r>
          </w:p>
          <w:p w:rsidR="00F70D31" w:rsidRPr="00923623" w:rsidRDefault="00F70D31" w:rsidP="0092362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F70D31" w:rsidRPr="00923623" w:rsidRDefault="00F70D31" w:rsidP="00923623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Требования медицинской деонтологии к организации работы врача-инфекциониста</w:t>
            </w:r>
          </w:p>
          <w:p w:rsidR="00F70D31" w:rsidRPr="00923623" w:rsidRDefault="00F70D31" w:rsidP="00923623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3B5993" w:rsidRPr="00923623" w:rsidTr="006F4362">
        <w:trPr>
          <w:trHeight w:val="20"/>
        </w:trPr>
        <w:tc>
          <w:tcPr>
            <w:tcW w:w="980" w:type="pct"/>
          </w:tcPr>
          <w:p w:rsidR="00F70D31" w:rsidRPr="00923623" w:rsidRDefault="00F70D31" w:rsidP="00923623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pacing w:val="-4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ВИЧ-инфекция</w:t>
            </w:r>
          </w:p>
        </w:tc>
        <w:tc>
          <w:tcPr>
            <w:tcW w:w="4020" w:type="pct"/>
          </w:tcPr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hAnsi="Times New Roman"/>
                <w:color w:val="000000" w:themeColor="text1"/>
              </w:rPr>
              <w:t>ВИЧ-инфекция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923623">
              <w:rPr>
                <w:rFonts w:ascii="Times New Roman" w:hAnsi="Times New Roman"/>
                <w:color w:val="000000" w:themeColor="text1"/>
              </w:rPr>
              <w:t xml:space="preserve"> Консультирование в службе центра СПИДа.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СПИД-ассоциированные заболевания.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hAnsi="Times New Roman"/>
                <w:color w:val="000000" w:themeColor="text1"/>
              </w:rPr>
              <w:t xml:space="preserve">Туберкулез. </w:t>
            </w:r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Микозы. </w:t>
            </w:r>
            <w:proofErr w:type="spellStart"/>
            <w:r w:rsidRPr="00923623">
              <w:rPr>
                <w:rFonts w:ascii="Times New Roman" w:eastAsia="Times New Roman" w:hAnsi="Times New Roman"/>
                <w:color w:val="000000" w:themeColor="text1"/>
              </w:rPr>
              <w:t>Пневмоцистная</w:t>
            </w:r>
            <w:proofErr w:type="spellEnd"/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 пневмония. </w:t>
            </w:r>
            <w:proofErr w:type="spellStart"/>
            <w:r w:rsidRPr="00923623">
              <w:rPr>
                <w:rFonts w:ascii="Times New Roman" w:eastAsia="Times New Roman" w:hAnsi="Times New Roman"/>
                <w:color w:val="000000" w:themeColor="text1"/>
              </w:rPr>
              <w:t>Цитомегаловирусная</w:t>
            </w:r>
            <w:proofErr w:type="spellEnd"/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 инфекция. Токсоплазмоз.</w:t>
            </w:r>
          </w:p>
        </w:tc>
      </w:tr>
      <w:tr w:rsidR="003B5993" w:rsidRPr="00923623" w:rsidTr="006F4362">
        <w:trPr>
          <w:trHeight w:val="20"/>
        </w:trPr>
        <w:tc>
          <w:tcPr>
            <w:tcW w:w="980" w:type="pct"/>
          </w:tcPr>
          <w:p w:rsidR="00F70D31" w:rsidRPr="00923623" w:rsidRDefault="00F70D31" w:rsidP="00923623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Вопросы </w:t>
            </w:r>
            <w:proofErr w:type="spellStart"/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гепатологии</w:t>
            </w:r>
            <w:proofErr w:type="spellEnd"/>
          </w:p>
        </w:tc>
        <w:tc>
          <w:tcPr>
            <w:tcW w:w="4020" w:type="pct"/>
          </w:tcPr>
          <w:p w:rsidR="00F70D31" w:rsidRPr="00923623" w:rsidRDefault="00F70D31" w:rsidP="0092362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Вирусные гепатиты А, В, С, Д, Е.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Лечение гепатитов. Хронические гепатиты и циррозы печени.</w:t>
            </w:r>
          </w:p>
        </w:tc>
      </w:tr>
      <w:tr w:rsidR="003B5993" w:rsidRPr="00923623" w:rsidTr="006F4362">
        <w:trPr>
          <w:trHeight w:val="20"/>
        </w:trPr>
        <w:tc>
          <w:tcPr>
            <w:tcW w:w="980" w:type="pct"/>
          </w:tcPr>
          <w:p w:rsidR="00F70D31" w:rsidRPr="00923623" w:rsidRDefault="00F70D31" w:rsidP="00923623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923623">
              <w:rPr>
                <w:rFonts w:ascii="Times New Roman" w:hAnsi="Times New Roman"/>
                <w:color w:val="000000" w:themeColor="text1"/>
              </w:rPr>
              <w:t>Инфекционные болезни, которые могут привести к развитию ЧС</w:t>
            </w:r>
          </w:p>
        </w:tc>
        <w:tc>
          <w:tcPr>
            <w:tcW w:w="4020" w:type="pct"/>
          </w:tcPr>
          <w:p w:rsidR="00F70D31" w:rsidRPr="00923623" w:rsidRDefault="00F70D31" w:rsidP="00923623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>Противоэпидемические мероприятия и санитарная охрана границ.</w:t>
            </w:r>
            <w:r w:rsidRPr="0092362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3B5993" w:rsidRPr="00923623" w:rsidTr="006F4362">
        <w:trPr>
          <w:trHeight w:val="20"/>
        </w:trPr>
        <w:tc>
          <w:tcPr>
            <w:tcW w:w="980" w:type="pct"/>
          </w:tcPr>
          <w:p w:rsidR="00F70D31" w:rsidRPr="00923623" w:rsidRDefault="00F70D31" w:rsidP="00923623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Дифференциальная диагностика </w:t>
            </w:r>
            <w:proofErr w:type="spellStart"/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экзантемных</w:t>
            </w:r>
            <w:proofErr w:type="spellEnd"/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заболеваний</w:t>
            </w:r>
          </w:p>
        </w:tc>
        <w:tc>
          <w:tcPr>
            <w:tcW w:w="4020" w:type="pct"/>
          </w:tcPr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23623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заболеваний, протекающих с синдромом экзантемы и энантемы.</w:t>
            </w:r>
          </w:p>
          <w:p w:rsidR="00F70D31" w:rsidRPr="00923623" w:rsidRDefault="00F70D31" w:rsidP="00923623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Герпетическая инфекция. Инфекция, вызванная </w:t>
            </w:r>
            <w:r w:rsidRPr="00923623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</w:t>
            </w:r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r w:rsidRPr="00923623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zoster</w:t>
            </w:r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 (ветряная оспа, опоясывающий лишай). Эпштейн-</w:t>
            </w:r>
            <w:proofErr w:type="spellStart"/>
            <w:r w:rsidRPr="00923623">
              <w:rPr>
                <w:rFonts w:ascii="Times New Roman" w:eastAsia="Times New Roman" w:hAnsi="Times New Roman"/>
                <w:color w:val="000000" w:themeColor="text1"/>
              </w:rPr>
              <w:t>Барр</w:t>
            </w:r>
            <w:proofErr w:type="spellEnd"/>
            <w:r w:rsidRPr="00923623">
              <w:rPr>
                <w:rFonts w:ascii="Times New Roman" w:eastAsia="Times New Roman" w:hAnsi="Times New Roman"/>
                <w:color w:val="000000" w:themeColor="text1"/>
              </w:rPr>
              <w:t xml:space="preserve"> вирусная инфекция. Корь. Краснуха.</w:t>
            </w:r>
          </w:p>
        </w:tc>
      </w:tr>
      <w:tr w:rsidR="003B5993" w:rsidRPr="00923623" w:rsidTr="006F4362">
        <w:trPr>
          <w:trHeight w:val="20"/>
        </w:trPr>
        <w:tc>
          <w:tcPr>
            <w:tcW w:w="980" w:type="pct"/>
          </w:tcPr>
          <w:p w:rsidR="00F70D31" w:rsidRPr="00923623" w:rsidRDefault="00F70D31" w:rsidP="00923623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Инфекции дыхательных путей</w:t>
            </w:r>
          </w:p>
        </w:tc>
        <w:tc>
          <w:tcPr>
            <w:tcW w:w="4020" w:type="pct"/>
          </w:tcPr>
          <w:p w:rsidR="00F70D31" w:rsidRPr="00923623" w:rsidRDefault="00F70D31" w:rsidP="00923623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Инфекции дыхательных путей.</w:t>
            </w:r>
          </w:p>
          <w:p w:rsidR="00F70D31" w:rsidRPr="00923623" w:rsidRDefault="00F70D31" w:rsidP="00923623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Грипп и другие острые респираторные вирусные инфекции. МЕ</w:t>
            </w:r>
            <w:r w:rsidRPr="00923623">
              <w:rPr>
                <w:rFonts w:ascii="Times New Roman" w:hAnsi="Times New Roman"/>
                <w:color w:val="000000" w:themeColor="text1"/>
                <w:lang w:val="en-US" w:eastAsia="ru-RU"/>
              </w:rPr>
              <w:t>RS</w:t>
            </w: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. ТОРС.</w:t>
            </w:r>
          </w:p>
          <w:p w:rsidR="00F70D31" w:rsidRPr="00923623" w:rsidRDefault="00F70D31" w:rsidP="00923623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23623">
              <w:rPr>
                <w:rFonts w:ascii="Times New Roman" w:hAnsi="Times New Roman"/>
                <w:color w:val="000000" w:themeColor="text1"/>
                <w:lang w:eastAsia="ru-RU"/>
              </w:rPr>
              <w:t>Менингококковая инфекция.</w:t>
            </w:r>
          </w:p>
        </w:tc>
      </w:tr>
    </w:tbl>
    <w:p w:rsidR="00F70D31" w:rsidRPr="003B5993" w:rsidRDefault="00F70D31" w:rsidP="00F70D31">
      <w:pPr>
        <w:pStyle w:val="13"/>
        <w:widowControl/>
        <w:spacing w:before="0" w:after="0"/>
        <w:ind w:left="2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F70D31" w:rsidRPr="003B5993" w:rsidRDefault="00F70D31" w:rsidP="00F70D31">
      <w:pPr>
        <w:pStyle w:val="a"/>
        <w:ind w:left="0" w:firstLine="0"/>
        <w:rPr>
          <w:color w:val="000000" w:themeColor="text1"/>
          <w:sz w:val="22"/>
          <w:szCs w:val="22"/>
        </w:rPr>
      </w:pPr>
      <w:r w:rsidRPr="003B5993">
        <w:rPr>
          <w:color w:val="000000" w:themeColor="text1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8763C0" w:rsidRPr="003B5993" w:rsidRDefault="008763C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F70D31" w:rsidRPr="003B5993" w:rsidRDefault="00F70D31" w:rsidP="00F70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FF2510" w:rsidRPr="003B5993" w:rsidRDefault="00FF2510" w:rsidP="00DE6D5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5993">
        <w:rPr>
          <w:rFonts w:ascii="Times New Roman" w:eastAsia="Droid Sans Fallback" w:hAnsi="Times New Roman" w:cs="Times New Roman"/>
          <w:bCs w:val="0"/>
          <w:color w:val="000000" w:themeColor="text1"/>
          <w:kern w:val="2"/>
          <w:sz w:val="22"/>
          <w:szCs w:val="22"/>
          <w:lang w:eastAsia="zh-CN" w:bidi="hi-IN"/>
        </w:rPr>
        <w:lastRenderedPageBreak/>
        <w:t>Паллиативная помощь в онкологии</w:t>
      </w:r>
    </w:p>
    <w:p w:rsidR="00FF2510" w:rsidRPr="003B5993" w:rsidRDefault="00FF2510" w:rsidP="00DE6D5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Подготовка квалифицированного врача-специалиста онколога, обладающего системой профессиональных компетенций в области паллиативной медицинской помощи, способного и готового для самостоятельной профессиональной деятельности в должности медицинских работников по данной специальности в лечебных учреждениях всех систем здравоохранения и условий оказания медицинской помощи.</w:t>
      </w:r>
    </w:p>
    <w:p w:rsidR="00FF2510" w:rsidRPr="003B5993" w:rsidRDefault="00FF2510" w:rsidP="00DE6D5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FF2510" w:rsidRPr="003B5993" w:rsidRDefault="00FF2510" w:rsidP="00DE6D58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FF2510" w:rsidRPr="003B5993" w:rsidRDefault="00FF2510" w:rsidP="00DE6D58">
      <w:pPr>
        <w:pStyle w:val="22"/>
      </w:pPr>
      <w:r w:rsidRPr="003B5993"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Лечебная деятельность: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ведению и лечению пациентов, нуждающихся в оказании онкологической медицинской помощи (ПК-6);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Реабилитационная деятельность: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FF2510" w:rsidRPr="003B5993" w:rsidRDefault="00FF2510" w:rsidP="00DE6D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(ПК-10).</w:t>
      </w:r>
    </w:p>
    <w:p w:rsidR="00FF2510" w:rsidRPr="003B5993" w:rsidRDefault="00FF2510" w:rsidP="00DE6D5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2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608"/>
      </w:tblGrid>
      <w:tr w:rsidR="003B5993" w:rsidRPr="003B5993" w:rsidTr="006F4362">
        <w:trPr>
          <w:trHeight w:val="20"/>
        </w:trPr>
        <w:tc>
          <w:tcPr>
            <w:tcW w:w="974" w:type="pct"/>
          </w:tcPr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Нормативно-правовые, организационные, психологические, социальные и духовные аспекты паллиативной медицинской помощи</w:t>
            </w:r>
          </w:p>
        </w:tc>
        <w:tc>
          <w:tcPr>
            <w:tcW w:w="3766" w:type="pct"/>
          </w:tcPr>
          <w:p w:rsidR="00F70D31" w:rsidRPr="003B5993" w:rsidRDefault="00F70D31" w:rsidP="00DE6D5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Основы организации паллиативной медицинской помощи в Российской Федерации. 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Нормативно-правовое регулирование медицинской деятельности в РФ. Медико-социальные и экономические предпосылки развития паллиативной медицины. Структура службы паллиативной медицинской помощи. </w:t>
            </w:r>
          </w:p>
          <w:p w:rsidR="00F70D31" w:rsidRPr="003B5993" w:rsidRDefault="00F70D31" w:rsidP="00DE6D5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принципы паллиативной медицинской помощи.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Принципы и философия паллиативной медицинской помощи. Особенности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курации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неизлечимых больных: оценка состояния пациента и критериев исхода. Общение с неизлечимо больными и их семьями. Психологические реакции на утрату близких. Группы психологического риска.</w:t>
            </w:r>
          </w:p>
          <w:p w:rsidR="00F70D31" w:rsidRPr="003B5993" w:rsidRDefault="00F70D31" w:rsidP="00DE6D5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Критерии качества жизни в паллиативной медицине – принципы и практика.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Оценка состояния и критерии прогноза пациента, получающего паллиативную медицинскую помощь. Критерии качества жизни в паллиативной медицине.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Междисциплинарный подход при оказании паллиативной медицинской помощи. 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Значение оперативных вмешательств, включая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миниинвазивные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, лучевой терапии, респираторной, кардиоваскулярной и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нутритивной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поддержки в паллиативной медицинской помощи.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Роль поддерживающей терапии в оказании паллиативной медицинской помощи.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История поддерживающей терапии. Лечение анемии. Профилактика и лечение инфекционных осложнений, тошноты и рвоты, </w:t>
            </w:r>
            <w:r w:rsidRPr="003B5993">
              <w:rPr>
                <w:color w:val="000000" w:themeColor="text1"/>
                <w:sz w:val="22"/>
                <w:szCs w:val="22"/>
              </w:rPr>
              <w:lastRenderedPageBreak/>
              <w:t xml:space="preserve">гастроинтестинальных расстройств (диарея, запоры, кишечная непроходимость), дерматологических осложнений, патологии костной ткани, почечных и печеночных осложнений. Кардиоваскулярные и тромбоэмболические осложнения.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Нутритивная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поддержка. Современные подходы к лечению синдрома анорексии-кахексии.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Лекция 6. Вопросы этики и деонтологии в паллиативной медицине.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Духовная поддержка больных и их семей. Религиозные и культурные потребности пациентов и членов их семьи.</w:t>
            </w:r>
          </w:p>
        </w:tc>
      </w:tr>
      <w:tr w:rsidR="00DE6D58" w:rsidRPr="003B5993" w:rsidTr="006F4362">
        <w:trPr>
          <w:trHeight w:val="20"/>
        </w:trPr>
        <w:tc>
          <w:tcPr>
            <w:tcW w:w="974" w:type="pct"/>
          </w:tcPr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lastRenderedPageBreak/>
              <w:t xml:space="preserve">Диагностика и лечение хронической боли различного генеза. </w:t>
            </w:r>
          </w:p>
        </w:tc>
        <w:tc>
          <w:tcPr>
            <w:tcW w:w="3766" w:type="pct"/>
          </w:tcPr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Хронический болевой синдром в паллиативной медицине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Определение понятия. Этиология, патогенез, диагностика. Классификация. Принципы лечения хронической боли у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инкурабельных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онкологических больных.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Лекарственные методы лечения симптомов основного заболевания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Классификация боли.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Этапность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в лечении хронической боли у онкологических больных. Основные фармакологические группы лекарственных препаратов, применяемых при лечении хронического болевого синдрома. Фармакотерапия умеренной боли, фармакотерапия средней боли, фармакотерапия сильной и нестерпимой боли. Пути введения аналгетиков и индивидуальный подбор препаратов и их дозировок. Осложнения и их коррекция. 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Принципы работы с наркотическими аналгетиками.</w:t>
            </w:r>
          </w:p>
          <w:p w:rsidR="00F70D31" w:rsidRPr="003B5993" w:rsidRDefault="00F70D31" w:rsidP="00DE6D5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Содержание: Нормативно-правовые аспекты. ФЗ-61 от 12.04.2010 «</w:t>
            </w:r>
            <w:r w:rsidRPr="003B599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Об обращении лекарственных средств», ФЗ-3 от 08.01.1998 «О наркотических средствах и психотропных веществах». </w:t>
            </w: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Порядок получения лицензии на оформление допуска к работе с наркотическими аналгетиками.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</w:rPr>
              <w:t>Н</w:t>
            </w:r>
            <w:r w:rsidRPr="003B5993">
              <w:rPr>
                <w:color w:val="000000" w:themeColor="text1"/>
                <w:sz w:val="22"/>
                <w:szCs w:val="22"/>
              </w:rPr>
              <w:t>елекарственные методы лечения симптомов болевого синдрома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Электротерапия, криотерапия, механическая терапия, физические упражнения, местное применение конкурентных раздражителей.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Хирургические и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миниинвазивные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технологии.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 xml:space="preserve">Краткое содержание: Виды хирургических вмешательств, показания и противопоказания.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Миниинвазивные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технологии –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стентирование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эндоанастомозы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 и др. 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Симптоматическое лечение клинических проблем, не связанных с основным заболеванием.</w:t>
            </w:r>
          </w:p>
          <w:p w:rsidR="00F70D31" w:rsidRPr="003B5993" w:rsidRDefault="00F70D31" w:rsidP="00DE6D58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Краткое содержание: Диагностика и лечение сердечно</w:t>
            </w:r>
            <w:r w:rsidRPr="003B5993">
              <w:rPr>
                <w:color w:val="000000" w:themeColor="text1"/>
                <w:kern w:val="2"/>
                <w:sz w:val="22"/>
                <w:szCs w:val="22"/>
                <w:lang w:bidi="hi-IN"/>
              </w:rPr>
              <w:t>-</w:t>
            </w:r>
            <w:r w:rsidRPr="003B5993">
              <w:rPr>
                <w:color w:val="000000" w:themeColor="text1"/>
                <w:sz w:val="22"/>
                <w:szCs w:val="22"/>
              </w:rPr>
              <w:t xml:space="preserve">сосудистых, легочных, печеночных и почечных заболеваний. Уход за </w:t>
            </w:r>
            <w:proofErr w:type="spellStart"/>
            <w:r w:rsidRPr="003B5993">
              <w:rPr>
                <w:color w:val="000000" w:themeColor="text1"/>
                <w:sz w:val="22"/>
                <w:szCs w:val="22"/>
              </w:rPr>
              <w:t>стомами</w:t>
            </w:r>
            <w:proofErr w:type="spellEnd"/>
            <w:r w:rsidRPr="003B5993">
              <w:rPr>
                <w:color w:val="000000" w:themeColor="text1"/>
                <w:sz w:val="22"/>
                <w:szCs w:val="22"/>
              </w:rPr>
              <w:t xml:space="preserve">. Профилактика и лечение пролежней. Показания к применению респираторной поддержки, аппараты, техника применения. </w:t>
            </w:r>
          </w:p>
        </w:tc>
      </w:tr>
    </w:tbl>
    <w:p w:rsidR="00FF2510" w:rsidRPr="003B5993" w:rsidRDefault="00FF2510" w:rsidP="00876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FF2510" w:rsidRPr="003B5993" w:rsidSect="001F1F19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57" w:rsidRDefault="00E16A57" w:rsidP="001F1F19">
      <w:pPr>
        <w:spacing w:after="0" w:line="240" w:lineRule="auto"/>
      </w:pPr>
      <w:r>
        <w:separator/>
      </w:r>
    </w:p>
  </w:endnote>
  <w:endnote w:type="continuationSeparator" w:id="0">
    <w:p w:rsidR="00E16A57" w:rsidRDefault="00E16A57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6445"/>
      <w:docPartObj>
        <w:docPartGallery w:val="Page Numbers (Bottom of Page)"/>
        <w:docPartUnique/>
      </w:docPartObj>
    </w:sdtPr>
    <w:sdtEndPr/>
    <w:sdtContent>
      <w:p w:rsidR="00F70D31" w:rsidRDefault="00F70D3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36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70D31" w:rsidRDefault="00F70D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31" w:rsidRPr="00F46758" w:rsidRDefault="00F70D31" w:rsidP="001F1F19">
    <w:pPr>
      <w:pStyle w:val="a6"/>
      <w:jc w:val="center"/>
      <w:rPr>
        <w:rFonts w:ascii="Times New Roman" w:hAnsi="Times New Roman"/>
      </w:rPr>
    </w:pPr>
    <w:r w:rsidRPr="00F46758">
      <w:rPr>
        <w:rFonts w:ascii="Times New Roman" w:hAnsi="Times New Roman"/>
      </w:rPr>
      <w:t>Москва 201</w:t>
    </w:r>
    <w:r w:rsidR="00DE6D58">
      <w:rPr>
        <w:rFonts w:ascii="Times New Roman" w:hAnsi="Times New Roman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57" w:rsidRDefault="00E16A57" w:rsidP="001F1F19">
      <w:pPr>
        <w:spacing w:after="0" w:line="240" w:lineRule="auto"/>
      </w:pPr>
      <w:r>
        <w:separator/>
      </w:r>
    </w:p>
  </w:footnote>
  <w:footnote w:type="continuationSeparator" w:id="0">
    <w:p w:rsidR="00E16A57" w:rsidRDefault="00E16A57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31" w:rsidRDefault="00F70D31" w:rsidP="005A0E56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31.08.57 Онкология </w:t>
    </w:r>
  </w:p>
  <w:p w:rsidR="00F70D31" w:rsidRPr="001F1F19" w:rsidRDefault="00F70D31" w:rsidP="001F1F19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25234"/>
    <w:rsid w:val="00055EBC"/>
    <w:rsid w:val="0008021B"/>
    <w:rsid w:val="000875BD"/>
    <w:rsid w:val="000B119A"/>
    <w:rsid w:val="000E5F6E"/>
    <w:rsid w:val="00120456"/>
    <w:rsid w:val="00131CFA"/>
    <w:rsid w:val="00143483"/>
    <w:rsid w:val="00180D38"/>
    <w:rsid w:val="001B387B"/>
    <w:rsid w:val="001B4338"/>
    <w:rsid w:val="001D1C7A"/>
    <w:rsid w:val="001F1F19"/>
    <w:rsid w:val="00201A99"/>
    <w:rsid w:val="00212583"/>
    <w:rsid w:val="002364BE"/>
    <w:rsid w:val="00250FB3"/>
    <w:rsid w:val="00296FA1"/>
    <w:rsid w:val="00320ADB"/>
    <w:rsid w:val="003501D4"/>
    <w:rsid w:val="003626E9"/>
    <w:rsid w:val="003871E2"/>
    <w:rsid w:val="003A47A7"/>
    <w:rsid w:val="003A63B7"/>
    <w:rsid w:val="003B3A3D"/>
    <w:rsid w:val="003B5993"/>
    <w:rsid w:val="003D7C7E"/>
    <w:rsid w:val="00436C33"/>
    <w:rsid w:val="00493C1A"/>
    <w:rsid w:val="004B46DE"/>
    <w:rsid w:val="004C7D26"/>
    <w:rsid w:val="004D3D09"/>
    <w:rsid w:val="004E2C94"/>
    <w:rsid w:val="00576AD3"/>
    <w:rsid w:val="00583753"/>
    <w:rsid w:val="005852F2"/>
    <w:rsid w:val="0059482F"/>
    <w:rsid w:val="005A0E56"/>
    <w:rsid w:val="005B4D7F"/>
    <w:rsid w:val="005B73DD"/>
    <w:rsid w:val="005C3746"/>
    <w:rsid w:val="005D56B8"/>
    <w:rsid w:val="005E26B1"/>
    <w:rsid w:val="005E6D12"/>
    <w:rsid w:val="00604802"/>
    <w:rsid w:val="006D5AC8"/>
    <w:rsid w:val="006F4362"/>
    <w:rsid w:val="00706843"/>
    <w:rsid w:val="00735C05"/>
    <w:rsid w:val="0074081A"/>
    <w:rsid w:val="0075580A"/>
    <w:rsid w:val="00770F50"/>
    <w:rsid w:val="00780DDC"/>
    <w:rsid w:val="007C1DC7"/>
    <w:rsid w:val="007D0805"/>
    <w:rsid w:val="007F3881"/>
    <w:rsid w:val="007F5153"/>
    <w:rsid w:val="007F7DB0"/>
    <w:rsid w:val="00807CC8"/>
    <w:rsid w:val="00867E32"/>
    <w:rsid w:val="008763C0"/>
    <w:rsid w:val="008820B9"/>
    <w:rsid w:val="008C3563"/>
    <w:rsid w:val="008E1B0A"/>
    <w:rsid w:val="00923623"/>
    <w:rsid w:val="009460AC"/>
    <w:rsid w:val="009528D2"/>
    <w:rsid w:val="009836C0"/>
    <w:rsid w:val="00986C85"/>
    <w:rsid w:val="00995112"/>
    <w:rsid w:val="009D7E2D"/>
    <w:rsid w:val="009F36B0"/>
    <w:rsid w:val="009F68E0"/>
    <w:rsid w:val="00A30366"/>
    <w:rsid w:val="00A62FFB"/>
    <w:rsid w:val="00A7675D"/>
    <w:rsid w:val="00AB0376"/>
    <w:rsid w:val="00AC3AF8"/>
    <w:rsid w:val="00AE7E0E"/>
    <w:rsid w:val="00AF1220"/>
    <w:rsid w:val="00AF41E7"/>
    <w:rsid w:val="00B20FE1"/>
    <w:rsid w:val="00B21E33"/>
    <w:rsid w:val="00B3617B"/>
    <w:rsid w:val="00B417C4"/>
    <w:rsid w:val="00B43DD8"/>
    <w:rsid w:val="00BC0F09"/>
    <w:rsid w:val="00BC6F45"/>
    <w:rsid w:val="00BE37CB"/>
    <w:rsid w:val="00C20153"/>
    <w:rsid w:val="00C43F48"/>
    <w:rsid w:val="00C72C66"/>
    <w:rsid w:val="00C7631A"/>
    <w:rsid w:val="00CB30DA"/>
    <w:rsid w:val="00D161D7"/>
    <w:rsid w:val="00D53A70"/>
    <w:rsid w:val="00D634A1"/>
    <w:rsid w:val="00D7548D"/>
    <w:rsid w:val="00DB012B"/>
    <w:rsid w:val="00DC2E2C"/>
    <w:rsid w:val="00DE6D58"/>
    <w:rsid w:val="00DF56B1"/>
    <w:rsid w:val="00E16A57"/>
    <w:rsid w:val="00E40BDD"/>
    <w:rsid w:val="00E5133C"/>
    <w:rsid w:val="00E97F7D"/>
    <w:rsid w:val="00F3123D"/>
    <w:rsid w:val="00F46758"/>
    <w:rsid w:val="00F6268E"/>
    <w:rsid w:val="00F70D31"/>
    <w:rsid w:val="00FB7002"/>
    <w:rsid w:val="00FF09CD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DE0E1-4BB5-414A-8CDF-71D99709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C0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70D31"/>
    <w:pPr>
      <w:keepNext/>
      <w:keepLines/>
      <w:spacing w:before="480" w:after="0"/>
      <w:jc w:val="center"/>
      <w:outlineLvl w:val="2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70D31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color w:val="000000" w:themeColor="tex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70D31"/>
    <w:pPr>
      <w:keepNext/>
      <w:spacing w:after="0" w:line="240" w:lineRule="auto"/>
      <w:ind w:firstLine="709"/>
      <w:jc w:val="center"/>
      <w:outlineLvl w:val="4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E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0"/>
    <w:qFormat/>
    <w:rsid w:val="00AC3AF8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table" w:styleId="a8">
    <w:name w:val="Table Grid"/>
    <w:basedOn w:val="a2"/>
    <w:uiPriority w:val="99"/>
    <w:rsid w:val="00AC3A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многоуровневый список"/>
    <w:basedOn w:val="a0"/>
    <w:link w:val="a9"/>
    <w:uiPriority w:val="99"/>
    <w:qFormat/>
    <w:rsid w:val="00AC3AF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AC3A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0"/>
    <w:uiPriority w:val="39"/>
    <w:semiHidden/>
    <w:unhideWhenUsed/>
    <w:qFormat/>
    <w:rsid w:val="005A0E56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5A0E56"/>
    <w:pPr>
      <w:spacing w:after="100"/>
    </w:pPr>
  </w:style>
  <w:style w:type="character" w:styleId="ab">
    <w:name w:val="Hyperlink"/>
    <w:basedOn w:val="a1"/>
    <w:uiPriority w:val="99"/>
    <w:unhideWhenUsed/>
    <w:rsid w:val="005A0E56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5A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A0E5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a1"/>
    <w:uiPriority w:val="9"/>
    <w:rsid w:val="006048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BC0F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 Indent"/>
    <w:basedOn w:val="a0"/>
    <w:link w:val="af"/>
    <w:uiPriority w:val="99"/>
    <w:unhideWhenUsed/>
    <w:rsid w:val="00BC0F09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BC0F09"/>
    <w:rPr>
      <w:rFonts w:ascii="Times New Roman" w:eastAsia="Times New Roman" w:hAnsi="Times New Roman" w:cs="Times New Roman"/>
      <w:color w:val="00000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C72C66"/>
    <w:pPr>
      <w:spacing w:after="100"/>
      <w:ind w:left="220"/>
    </w:pPr>
  </w:style>
  <w:style w:type="table" w:customStyle="1" w:styleId="41">
    <w:name w:val="Сетка таблицы4"/>
    <w:basedOn w:val="a2"/>
    <w:uiPriority w:val="99"/>
    <w:rsid w:val="00F70D31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8"/>
    <w:uiPriority w:val="99"/>
    <w:rsid w:val="00F70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F70D31"/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210">
    <w:name w:val="Основной текст 21"/>
    <w:basedOn w:val="a0"/>
    <w:rsid w:val="00F70D31"/>
    <w:pPr>
      <w:widowControl w:val="0"/>
      <w:suppressAutoHyphens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styleId="af0">
    <w:name w:val="Body Text"/>
    <w:basedOn w:val="a0"/>
    <w:link w:val="af1"/>
    <w:uiPriority w:val="99"/>
    <w:unhideWhenUsed/>
    <w:rsid w:val="00F70D31"/>
    <w:pPr>
      <w:framePr w:hSpace="180" w:wrap="around" w:vAnchor="text" w:hAnchor="text" w:y="1"/>
      <w:spacing w:after="0" w:line="240" w:lineRule="auto"/>
      <w:contextualSpacing/>
      <w:suppressOverlap/>
    </w:pPr>
    <w:rPr>
      <w:rFonts w:ascii="Times New Roman" w:hAnsi="Times New Roman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F70D31"/>
    <w:rPr>
      <w:rFonts w:ascii="Times New Roman" w:eastAsia="Calibri" w:hAnsi="Times New Roman" w:cs="Times New Roman"/>
      <w:lang w:eastAsia="ru-RU"/>
    </w:rPr>
  </w:style>
  <w:style w:type="paragraph" w:customStyle="1" w:styleId="12">
    <w:name w:val="Нижний колонтитул1"/>
    <w:basedOn w:val="a0"/>
    <w:uiPriority w:val="99"/>
    <w:qFormat/>
    <w:rsid w:val="00F70D3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3">
    <w:name w:val="Заголовок 1 с нумерацией"/>
    <w:basedOn w:val="a0"/>
    <w:uiPriority w:val="99"/>
    <w:qFormat/>
    <w:rsid w:val="00F70D31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0D31"/>
    <w:rPr>
      <w:rFonts w:ascii="Times New Roman" w:eastAsia="Calibri" w:hAnsi="Times New Roman" w:cs="Times New Roman"/>
      <w:b/>
      <w:color w:val="000000" w:themeColor="text1"/>
    </w:rPr>
  </w:style>
  <w:style w:type="character" w:customStyle="1" w:styleId="50">
    <w:name w:val="Заголовок 5 Знак"/>
    <w:basedOn w:val="a1"/>
    <w:link w:val="5"/>
    <w:uiPriority w:val="9"/>
    <w:rsid w:val="00F70D31"/>
    <w:rPr>
      <w:rFonts w:ascii="Times New Roman" w:eastAsia="Calibri" w:hAnsi="Times New Roman" w:cs="Times New Roman"/>
      <w:b/>
    </w:rPr>
  </w:style>
  <w:style w:type="paragraph" w:styleId="22">
    <w:name w:val="Body Text Indent 2"/>
    <w:basedOn w:val="a0"/>
    <w:link w:val="23"/>
    <w:uiPriority w:val="99"/>
    <w:unhideWhenUsed/>
    <w:rsid w:val="00DE6D58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 w:themeColor="text1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DE6D58"/>
    <w:rPr>
      <w:rFonts w:ascii="Times New Roman" w:eastAsia="Times New Roman" w:hAnsi="Times New Roman" w:cs="Times New Roman"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hematologic/polycythem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asotaimedicina.ru/diseases/immune/heavy-chai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CF2AF-C826-420F-A02F-59646A1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10925</Words>
  <Characters>62273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ОХТЕРЛОНЕ Денис Александрович</cp:lastModifiedBy>
  <cp:revision>11</cp:revision>
  <cp:lastPrinted>2015-11-23T13:08:00Z</cp:lastPrinted>
  <dcterms:created xsi:type="dcterms:W3CDTF">2019-09-24T09:08:00Z</dcterms:created>
  <dcterms:modified xsi:type="dcterms:W3CDTF">2019-12-05T09:56:00Z</dcterms:modified>
</cp:coreProperties>
</file>